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ed2d0c36b7b01439e34f889cccf883bf2d6dd5"/>
      <w:r>
        <w:rPr>
          <w:b/>
        </w:rPr>
        <w:t xml:space="preserve">ПРОТОКОЛ ПРО РЕЗУЛЬТАТИ ЗЕМЕЛЬНИХ ТОРГІВ № LAP001-UA-20240329-98191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найвищу цінову пропозицію:</w:t>
      </w:r>
      <w:r>
        <w:t xml:space="preserve"> </w:t>
      </w:r>
      <w:r>
        <w:t xml:space="preserve">ПП "Фірма "СОМГІЗ"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надано наступну за розміром цінову пропозицію</w:t>
      </w:r>
      <w:r>
        <w:rPr>
          <w:b/>
        </w:rPr>
        <w:t xml:space="preserve"> </w:t>
      </w:r>
      <w:r>
        <w:rPr>
          <w:b/>
        </w:rPr>
        <w:t xml:space="preserve">після цінової пропозиції переможця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операторів, через електронні майданчики яких учасниками з переважним правом подано заяву на участь в земельних торгах:</w:t>
      </w:r>
      <w:r>
        <w:t xml:space="preserve"> </w:t>
      </w:r>
      <w:r>
        <w:t xml:space="preserve">На участь в земельних торгах не подано жодної заяви від учасників з переважним правом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72662431-1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відбулися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початку земельних торгів:</w:t>
      </w:r>
      <w:r>
        <w:t xml:space="preserve"> </w:t>
      </w:r>
      <w:r>
        <w:t xml:space="preserve">06.05.2024 12:45:00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 та час завершення земельних торгів: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0,671 га, кадастровий номер 4621581200:02:000:0604,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рiлля.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0,671 га, кадастровий номер 4621581200:02:000:0604,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рiлля, вільна від забудови, не загороджена та не замощена. Ділянка має прямокутноподібну форму. Земельна ділянка розташована на схилі. На момент огляду, земельна ділянка використовувалась для веденя товарного сільськогосподарського виробництва.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48 300,00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Ціна лота:</w:t>
      </w:r>
      <w:r>
        <w:t xml:space="preserve"> </w:t>
      </w:r>
      <w:r>
        <w:t xml:space="preserve">48 300,00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Мінімальний крок земельних торгів:</w:t>
      </w:r>
      <w:r>
        <w:t xml:space="preserve"> </w:t>
      </w:r>
      <w:r>
        <w:t xml:space="preserve">483,00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14 490,00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</w:p>
    <w:p>
      <w:pPr>
        <w:numPr>
          <w:ilvl w:val="0"/>
          <w:numId w:val="1002"/>
        </w:numPr>
        <w:pStyle w:val="Compact"/>
      </w:pPr>
      <w:r>
        <w:rPr>
          <w:i/>
          <w:u w:val="single"/>
        </w:rPr>
        <w:t xml:space="preserve">ПП "ЗАХІДНИЙ БУГ", ЄДРПОУ: 32478033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Закриті цінові пропозиції учасників:</w:t>
      </w:r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t xml:space="preserve">ПП "ЗАХІДНИЙ БУГ"</w:t>
            </w:r>
          </w:p>
        </w:tc>
        <w:tc>
          <w:p>
            <w:pPr>
              <w:pStyle w:val="Compact"/>
              <w:jc w:val="left"/>
            </w:pPr>
            <w:r>
              <w:t xml:space="preserve">48 300,00 грн</w:t>
            </w:r>
          </w:p>
        </w:tc>
        <w:tc>
          <w:p>
            <w:pPr>
              <w:pStyle w:val="Compact"/>
              <w:jc w:val="left"/>
            </w:pPr>
            <w:r>
              <w:t xml:space="preserve">03.05.2024 15:02:17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Переможець земельних торгів:</w:t>
      </w:r>
      <w:r>
        <w:t xml:space="preserve"> </w:t>
      </w:r>
      <w:r>
        <w:rPr>
          <w:i/>
        </w:rPr>
        <w:t xml:space="preserve">ПП "ЗАХІДНИЙ БУГ", ЄДРПОУ: 32478033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Учасник, щодо якого настав один з випадків, передбачених пунктом 49 Вимог щодо підготовки до проведення та</w:t>
      </w:r>
      <w:r>
        <w:rPr>
          <w:b/>
        </w:rPr>
        <w:t xml:space="preserve"> </w:t>
      </w:r>
      <w:r>
        <w:rPr>
          <w:b/>
        </w:rPr>
        <w:t xml:space="preserve">проведення земельних торгів для продажу земельних ділянок та набуття прав користування ними (оренди, суперфіцію, емфітевзису),</w:t>
      </w:r>
      <w:r>
        <w:rPr>
          <w:b/>
        </w:rPr>
        <w:t xml:space="preserve"> </w:t>
      </w:r>
      <w:r>
        <w:rPr>
          <w:b/>
        </w:rPr>
        <w:t xml:space="preserve">затверджених постановою Кабінету Міністрів України від 22 вересня 2021 р. № 1013:</w:t>
      </w:r>
      <w:r>
        <w:t xml:space="preserve"> </w:t>
      </w:r>
      <w:r>
        <w:rPr>
          <w:i/>
        </w:rP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Винагорода оператора, через електронний майданчик якого подано заяву переможцем:</w:t>
      </w:r>
      <w:r>
        <w:t xml:space="preserve"> </w:t>
      </w:r>
      <w:r>
        <w:t xml:space="preserve">2 415,00 грн (дві тисячі чотириста п'ятнадцять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операторами гарантійних внесків (за вирахуванням винагороди оператора):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гарантійного внеску (за вирахуванням винагороди оператора), що підлягає перерахуванню організатору від оператора,</w:t>
      </w:r>
      <w:r>
        <w:rPr>
          <w:b/>
        </w:rPr>
        <w:t xml:space="preserve"> </w:t>
      </w:r>
      <w:r>
        <w:rPr>
          <w:b/>
        </w:rPr>
        <w:t xml:space="preserve">через електронний майданчик якого подано заяву переможцем:</w:t>
      </w:r>
      <w:r>
        <w:t xml:space="preserve"> </w:t>
      </w:r>
      <w:r>
        <w:t xml:space="preserve">12 075,00 грн (дванадцять тисяч сімдесят п'ять гривень 00 копійок)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Сума забезпечувального платежу, яка підлягає сплаті переможцем земельних торгів оператору для подальшого перерахування організатору:</w:t>
      </w:r>
      <w:r>
        <w:t xml:space="preserve"> </w:t>
      </w:r>
      <w:r>
        <w:t xml:space="preserve">36 225,00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Дата, до якої переможець електронного аукціону повинен сплатити забезпечувальний платіж на рахунок оператора:</w:t>
      </w:r>
      <w:r>
        <w:t xml:space="preserve"> </w:t>
      </w:r>
      <w:r>
        <w:t xml:space="preserve">24.05.2024 18:00:00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оператора для сплати забезпечувального платежу переможцем:</w:t>
      </w:r>
      <w:r>
        <w:t xml:space="preserve"> </w:t>
      </w:r>
      <w:r>
        <w:t xml:space="preserve">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Реквізити організатора для перерахування оператором сплати забезпечувального платежу, сплаченого переможцем земельних торгів:</w:t>
      </w:r>
    </w:p>
    <w:p>
      <w:pPr>
        <w:numPr>
          <w:ilvl w:val="0"/>
          <w:numId w:val="1003"/>
        </w:numPr>
        <w:pStyle w:val="Compact"/>
      </w:pPr>
      <w:r>
        <w:t xml:space="preserve">Одержувач: Приватний виконавець Шелінська Юлія Андріївна</w:t>
      </w:r>
    </w:p>
    <w:p>
      <w:pPr>
        <w:numPr>
          <w:ilvl w:val="0"/>
          <w:numId w:val="1003"/>
        </w:numPr>
        <w:pStyle w:val="Compact"/>
      </w:pPr>
      <w:r>
        <w:t xml:space="preserve">Код ЄДРПОУ або ІПН або паспорт: 3217704481</w:t>
      </w:r>
    </w:p>
    <w:p>
      <w:pPr>
        <w:numPr>
          <w:ilvl w:val="0"/>
          <w:numId w:val="1003"/>
        </w:numPr>
        <w:pStyle w:val="Compact"/>
      </w:pPr>
      <w:r>
        <w:t xml:space="preserve">Назва банку: АТ КБ "ПриватБанк"</w:t>
      </w:r>
    </w:p>
    <w:p>
      <w:pPr>
        <w:numPr>
          <w:ilvl w:val="0"/>
          <w:numId w:val="1003"/>
        </w:numPr>
        <w:pStyle w:val="Compact"/>
      </w:pPr>
      <w:r>
        <w:t xml:space="preserve">Номер банківського рахунку в форматі IBAN:</w:t>
      </w:r>
      <w:r>
        <w:t xml:space="preserve"> </w:t>
      </w:r>
      <w:r>
        <w:t xml:space="preserve">UA903052990000026249031000145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Переможець земельних торгів зобов'язується провести розрахунок відповідно до договору та чинного законодавства, а</w:t>
      </w:r>
      <w:r>
        <w:rPr>
          <w:i/>
        </w:rPr>
        <w:t xml:space="preserve"> </w:t>
      </w:r>
      <w:r>
        <w:rPr>
          <w:i/>
        </w:rPr>
        <w:t xml:space="preserve">також підписати договір у строки передбачені законодавством.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**Переможець земельних торгів:</w:t>
      </w:r>
      <w:r>
        <w:t xml:space="preserve"> </w:t>
      </w:r>
      <w:r>
        <w:t xml:space="preserve">ПП "ЗАХІДНИЙ БУГ", ЄДРПОУ: 32478033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**Найменування організатора:</w:t>
      </w:r>
      <w:r>
        <w:t xml:space="preserve"> </w:t>
      </w:r>
      <w:r>
        <w:t xml:space="preserve">Приватний виконавець Шелінська Юлія Андріївна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t xml:space="preserve">Контакти відповідальної особи оператора переможця земельних торгів</w:t>
      </w:r>
      <w:r>
        <w:br/>
      </w:r>
      <w:r>
        <w:t xml:space="preserve">__________________________________________________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  <w:r>
        <w:br/>
      </w:r>
      <w:r>
        <w:rPr>
          <w:i/>
        </w:rPr>
        <w:t xml:space="preserve">**Застосовується у випадку підписання протоколу про результати земельних торгів у паперовій формі</w:t>
      </w:r>
      <w:r>
        <w:rPr>
          <w:i/>
        </w:rPr>
        <w:t xml:space="preserve"> </w:t>
      </w:r>
      <w:r>
        <w:rPr>
          <w:i/>
        </w:rPr>
        <w:t xml:space="preserve">на вимогу переможця земельних торгів.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2024-05-20T19:15:52Z</dcterms:created>
  <dcterms:modified xsi:type="dcterms:W3CDTF">2024-05-20T19:15:52Z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