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BA3D"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ДОГОВІР ПРИЄДНАННЯ</w:t>
      </w:r>
    </w:p>
    <w:p w14:paraId="0D30B791"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(РЕДАКЦІЯ 01.10.2025р)</w:t>
      </w:r>
    </w:p>
    <w:p w14:paraId="20FEDD77"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p>
    <w:p w14:paraId="6C82E303" w14:textId="77777777" w:rsidR="00921F75"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sz w:val="24"/>
          <w:szCs w:val="24"/>
          <w:lang w:val="uk-UA" w:eastAsia="ru-RU"/>
        </w:rPr>
        <w:t>ТОВАРИСТВО З ОБМЕЖЕНОЮ ВІДПОВІДАЛЬНІСТЮ «</w:t>
      </w:r>
      <w:r w:rsidRPr="00497FC3">
        <w:rPr>
          <w:rFonts w:ascii="Times New Roman" w:eastAsia="Times New Roman" w:hAnsi="Times New Roman" w:cs="Times New Roman"/>
          <w:b/>
          <w:sz w:val="24"/>
          <w:szCs w:val="24"/>
          <w:lang w:val="uk-UA" w:eastAsia="ru-RU"/>
        </w:rPr>
        <w:t>БІРЖА</w:t>
      </w:r>
      <w:r>
        <w:rPr>
          <w:rFonts w:ascii="Times New Roman" w:eastAsia="Times New Roman" w:hAnsi="Times New Roman" w:cs="Times New Roman"/>
          <w:b/>
          <w:sz w:val="24"/>
          <w:szCs w:val="24"/>
          <w:lang w:val="uk-UA" w:eastAsia="ru-RU"/>
        </w:rPr>
        <w:t xml:space="preserve"> ПОДІЛЬСЬКА»</w:t>
      </w:r>
      <w:r>
        <w:rPr>
          <w:rFonts w:ascii="Times New Roman" w:eastAsia="Times New Roman" w:hAnsi="Times New Roman" w:cs="Times New Roman"/>
          <w:sz w:val="24"/>
          <w:szCs w:val="24"/>
          <w:lang w:val="uk-UA" w:eastAsia="ru-RU"/>
        </w:rPr>
        <w:t xml:space="preserve"> (далі - Оператор) в особі директора </w:t>
      </w:r>
      <w:proofErr w:type="spellStart"/>
      <w:r>
        <w:rPr>
          <w:rFonts w:ascii="Times New Roman" w:eastAsia="Times New Roman" w:hAnsi="Times New Roman" w:cs="Times New Roman"/>
          <w:sz w:val="24"/>
          <w:szCs w:val="24"/>
          <w:lang w:val="uk-UA" w:eastAsia="ru-RU"/>
        </w:rPr>
        <w:t>Бацури</w:t>
      </w:r>
      <w:proofErr w:type="spellEnd"/>
      <w:r>
        <w:rPr>
          <w:rFonts w:ascii="Times New Roman" w:eastAsia="Times New Roman" w:hAnsi="Times New Roman" w:cs="Times New Roman"/>
          <w:sz w:val="24"/>
          <w:szCs w:val="24"/>
          <w:lang w:val="uk-UA" w:eastAsia="ru-RU"/>
        </w:rPr>
        <w:t xml:space="preserve"> Олександра Степановича</w:t>
      </w:r>
      <w:r w:rsidRPr="00666401">
        <w:rPr>
          <w:rFonts w:ascii="Times New Roman" w:eastAsia="Times New Roman" w:hAnsi="Times New Roman" w:cs="Times New Roman"/>
          <w:sz w:val="24"/>
          <w:szCs w:val="24"/>
          <w:lang w:val="uk-UA" w:eastAsia="ru-RU"/>
        </w:rPr>
        <w:t>, як</w:t>
      </w:r>
      <w:r>
        <w:rPr>
          <w:rFonts w:ascii="Times New Roman" w:eastAsia="Times New Roman" w:hAnsi="Times New Roman" w:cs="Times New Roman"/>
          <w:sz w:val="24"/>
          <w:szCs w:val="24"/>
          <w:lang w:val="uk-UA" w:eastAsia="ru-RU"/>
        </w:rPr>
        <w:t>ий</w:t>
      </w:r>
      <w:r w:rsidRPr="00666401">
        <w:rPr>
          <w:rFonts w:ascii="Times New Roman" w:eastAsia="Times New Roman" w:hAnsi="Times New Roman" w:cs="Times New Roman"/>
          <w:sz w:val="24"/>
          <w:szCs w:val="24"/>
          <w:lang w:val="uk-UA" w:eastAsia="ru-RU"/>
        </w:rPr>
        <w:t xml:space="preserve"> діє на підставі </w:t>
      </w:r>
      <w:r>
        <w:rPr>
          <w:rFonts w:ascii="Times New Roman" w:eastAsia="Times New Roman" w:hAnsi="Times New Roman" w:cs="Times New Roman"/>
          <w:sz w:val="24"/>
          <w:szCs w:val="24"/>
          <w:lang w:val="uk-UA" w:eastAsia="ru-RU"/>
        </w:rPr>
        <w:t>Статуту,</w:t>
      </w:r>
      <w:r w:rsidRPr="00666401">
        <w:rPr>
          <w:rFonts w:ascii="Times New Roman" w:eastAsia="Times New Roman" w:hAnsi="Times New Roman" w:cs="Times New Roman"/>
          <w:sz w:val="24"/>
          <w:szCs w:val="24"/>
          <w:lang w:val="uk-UA" w:eastAsia="ru-RU"/>
        </w:rPr>
        <w:t xml:space="preserve"> з однієї сторони</w:t>
      </w:r>
      <w:r>
        <w:rPr>
          <w:rFonts w:ascii="Times New Roman" w:eastAsia="Times New Roman" w:hAnsi="Times New Roman" w:cs="Times New Roman"/>
          <w:sz w:val="24"/>
          <w:szCs w:val="24"/>
          <w:lang w:val="uk-UA" w:eastAsia="ru-RU"/>
        </w:rPr>
        <w:t xml:space="preserve">, </w:t>
      </w:r>
      <w:r w:rsidRPr="009F468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та </w:t>
      </w:r>
    </w:p>
    <w:p w14:paraId="744BE08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особа, що приєдналась до умов цього Договору, іменована в подальшому «Користувач», з іншої сторони, спільно іменовані як Сторони, уклали цей Договір приєднання (далі - Договір) про наступне: </w:t>
      </w:r>
    </w:p>
    <w:p w14:paraId="1DF261CF"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1. ЗАГАЛЬНІ ПОЛОЖЕННЯ</w:t>
      </w:r>
    </w:p>
    <w:p w14:paraId="769EFAEB" w14:textId="77777777" w:rsidR="00921F75"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1.1. Даний Договір є договором приєднання в розумінні ст. 634 Цивільного кодексу України, який може бути укладений лише шляхом приєднання Користувача до всіх його умов в цілому, що підтверджується виконанням умов, зазначених в п. 1.3. Договору, після чого Договір вважається укладеним в розумінні ст. 641 Цивільного кодексу України та рівносильним укладеному в письмовій формі, в розумінні ст. 207 Цивільного кодексу України. </w:t>
      </w:r>
    </w:p>
    <w:p w14:paraId="4C0CF677" w14:textId="77777777" w:rsidR="00921F75" w:rsidRPr="005E49F9"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5E49F9">
        <w:rPr>
          <w:rFonts w:ascii="Times New Roman" w:hAnsi="Times New Roman" w:cs="Times New Roman"/>
          <w:sz w:val="24"/>
          <w:szCs w:val="24"/>
          <w:lang w:val="uk-UA"/>
        </w:rPr>
        <w:t xml:space="preserve">1.2 </w:t>
      </w:r>
      <w:r w:rsidRPr="005E49F9">
        <w:rPr>
          <w:rFonts w:ascii="Times New Roman" w:eastAsia="Times New Roman" w:hAnsi="Times New Roman" w:cs="Times New Roman"/>
          <w:sz w:val="24"/>
          <w:szCs w:val="24"/>
          <w:lang w:val="uk-UA" w:eastAsia="ru-RU"/>
        </w:rPr>
        <w:t>Оператор</w:t>
      </w:r>
      <w:r w:rsidRPr="005E49F9">
        <w:rPr>
          <w:rFonts w:ascii="Times New Roman" w:hAnsi="Times New Roman" w:cs="Times New Roman"/>
          <w:sz w:val="24"/>
          <w:szCs w:val="24"/>
          <w:lang w:val="uk-UA"/>
        </w:rPr>
        <w:t xml:space="preserve">у </w:t>
      </w:r>
      <w:r w:rsidRPr="005E49F9">
        <w:rPr>
          <w:rFonts w:ascii="Times New Roman" w:eastAsia="Times New Roman" w:hAnsi="Times New Roman" w:cs="Times New Roman"/>
          <w:sz w:val="24"/>
          <w:szCs w:val="24"/>
          <w:lang w:val="uk-UA" w:eastAsia="ru-RU"/>
        </w:rPr>
        <w:t xml:space="preserve">належить електронний майданчик, </w:t>
      </w:r>
      <w:r w:rsidRPr="005E49F9">
        <w:rPr>
          <w:rFonts w:ascii="Times New Roman" w:hAnsi="Times New Roman" w:cs="Times New Roman"/>
          <w:sz w:val="24"/>
          <w:szCs w:val="24"/>
          <w:lang w:val="uk-UA"/>
        </w:rPr>
        <w:t xml:space="preserve">який розміщений за </w:t>
      </w:r>
      <w:proofErr w:type="spellStart"/>
      <w:r w:rsidRPr="005E49F9">
        <w:rPr>
          <w:rFonts w:ascii="Times New Roman" w:hAnsi="Times New Roman" w:cs="Times New Roman"/>
          <w:sz w:val="24"/>
          <w:szCs w:val="24"/>
          <w:lang w:val="uk-UA"/>
        </w:rPr>
        <w:t>адресою</w:t>
      </w:r>
      <w:proofErr w:type="spellEnd"/>
      <w:r w:rsidRPr="005E49F9">
        <w:rPr>
          <w:rFonts w:ascii="Times New Roman" w:hAnsi="Times New Roman" w:cs="Times New Roman"/>
          <w:sz w:val="24"/>
          <w:szCs w:val="24"/>
          <w:lang w:val="uk-UA"/>
        </w:rPr>
        <w:t xml:space="preserve"> в мережі Інтернет: </w:t>
      </w:r>
      <w:r w:rsidRPr="005E49F9">
        <w:rPr>
          <w:rStyle w:val="ae"/>
          <w:rFonts w:ascii="Times New Roman" w:hAnsi="Times New Roman" w:cs="Times New Roman"/>
          <w:sz w:val="24"/>
          <w:szCs w:val="24"/>
          <w:lang w:val="uk-UA"/>
        </w:rPr>
        <w:t>https://sale.birzha.km.ua</w:t>
      </w:r>
      <w:r w:rsidRPr="005E49F9">
        <w:rPr>
          <w:rFonts w:ascii="Times New Roman" w:eastAsia="Times New Roman" w:hAnsi="Times New Roman" w:cs="Times New Roman"/>
          <w:sz w:val="24"/>
          <w:szCs w:val="24"/>
          <w:lang w:val="uk-UA" w:eastAsia="ru-RU"/>
        </w:rPr>
        <w:t xml:space="preserve">, який є авторизованим електронним торговельним майданчиком та підключений до електронної торгової системи </w:t>
      </w:r>
      <w:proofErr w:type="spellStart"/>
      <w:r w:rsidRPr="005E49F9">
        <w:rPr>
          <w:rFonts w:ascii="Times New Roman" w:eastAsia="Times New Roman" w:hAnsi="Times New Roman" w:cs="Times New Roman"/>
          <w:sz w:val="24"/>
          <w:szCs w:val="24"/>
          <w:lang w:val="uk-UA" w:eastAsia="ru-RU"/>
        </w:rPr>
        <w:t>Prozorro.Продажі</w:t>
      </w:r>
      <w:proofErr w:type="spellEnd"/>
      <w:r w:rsidRPr="005E49F9">
        <w:rPr>
          <w:rFonts w:ascii="Times New Roman" w:eastAsia="Times New Roman" w:hAnsi="Times New Roman" w:cs="Times New Roman"/>
          <w:sz w:val="24"/>
          <w:szCs w:val="24"/>
          <w:lang w:val="uk-UA" w:eastAsia="ru-RU"/>
        </w:rPr>
        <w:t xml:space="preserve"> (далі – ЕТС). </w:t>
      </w:r>
    </w:p>
    <w:p w14:paraId="28581F0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1.3. Для участі у відповідному електронному аукціоні (далі – Аукціон), що проводиться в ЕТС, Користувач здійснює реєстрацію своєї цінової пропозиції (заяви на участь) на такий Аукціон через електронний майданчик шляхом заповнення ідентифікаційної інформації, сплачує гарантійний внесок, реєстраційний внесок (якщо передбачено умовами Аукціону) та надає електронні копії документів (якщо передбачено умовами Аукціону). </w:t>
      </w:r>
    </w:p>
    <w:p w14:paraId="57AC1E2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1.4. Здійснюючи реєстрацію цінової пропозиції (заяви на участь) на Аукціон на електронному майданчику, Користувач підтверджує безумовне погодження з усіма умовами цього Договору. Користувач не може запропонувати свої та/або змінювати умови цього Договору. </w:t>
      </w:r>
    </w:p>
    <w:p w14:paraId="010E5FC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1.5. Договір набирає чинності з моменту виконання Користувачем п. 1.3. Договору та діє до повного виконання Користувачем, якого визнано переможцем обов’язків, що передбачені умовами відповідного Аукціону або нормативно – правовими актами, які регулюють порядок проведення Аукціону. </w:t>
      </w:r>
    </w:p>
    <w:p w14:paraId="1F7CBD9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1.6. З метою ознайомлення Користувача зі змінами до цього Договору, </w:t>
      </w:r>
      <w:r>
        <w:rPr>
          <w:rFonts w:ascii="Times New Roman" w:eastAsia="Times New Roman" w:hAnsi="Times New Roman" w:cs="Times New Roman"/>
          <w:b/>
          <w:bCs/>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може оприлюднювати такі зміни шляхом їх розміщення на офіційному веб-сайті </w:t>
      </w:r>
      <w:r>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за веб – </w:t>
      </w:r>
      <w:proofErr w:type="spellStart"/>
      <w:r w:rsidRPr="009F468E">
        <w:rPr>
          <w:rFonts w:ascii="Times New Roman" w:eastAsia="Times New Roman" w:hAnsi="Times New Roman" w:cs="Times New Roman"/>
          <w:sz w:val="24"/>
          <w:szCs w:val="24"/>
          <w:lang w:val="uk-UA" w:eastAsia="ru-RU"/>
        </w:rPr>
        <w:t>адресою</w:t>
      </w:r>
      <w:proofErr w:type="spellEnd"/>
      <w:r w:rsidRPr="009F468E">
        <w:rPr>
          <w:rFonts w:ascii="Times New Roman" w:eastAsia="Times New Roman" w:hAnsi="Times New Roman" w:cs="Times New Roman"/>
          <w:sz w:val="24"/>
          <w:szCs w:val="24"/>
          <w:lang w:val="uk-UA" w:eastAsia="ru-RU"/>
        </w:rPr>
        <w:t xml:space="preserve">: </w:t>
      </w:r>
      <w:r w:rsidRPr="005E49F9">
        <w:rPr>
          <w:rStyle w:val="ae"/>
          <w:rFonts w:ascii="Times New Roman" w:hAnsi="Times New Roman" w:cs="Times New Roman"/>
          <w:sz w:val="24"/>
          <w:szCs w:val="24"/>
          <w:lang w:val="uk-UA"/>
        </w:rPr>
        <w:t>https://sale.birzha.km.ua</w:t>
      </w:r>
      <w:r w:rsidRPr="005E49F9">
        <w:rPr>
          <w:rFonts w:ascii="Times New Roman" w:eastAsia="Times New Roman" w:hAnsi="Times New Roman" w:cs="Times New Roman"/>
          <w:sz w:val="24"/>
          <w:szCs w:val="24"/>
          <w:lang w:val="uk-UA" w:eastAsia="ru-RU"/>
        </w:rPr>
        <w:t xml:space="preserve"> </w:t>
      </w:r>
      <w:r w:rsidRPr="009F468E">
        <w:rPr>
          <w:rFonts w:ascii="Times New Roman" w:eastAsia="Times New Roman" w:hAnsi="Times New Roman" w:cs="Times New Roman"/>
          <w:sz w:val="24"/>
          <w:szCs w:val="24"/>
          <w:lang w:val="uk-UA" w:eastAsia="ru-RU"/>
        </w:rPr>
        <w:t xml:space="preserve">та/або направлення повідомлення на адресу Користувача, вказану в особистому кабінеті під час реєстрації на електронному майданчику. Моментом ознайомлення Користувача з оприлюдненою інформацією вважається момент, з якого інформація отримала вигляд доступної для Користувача. В разі незгоди Користувача із внесеними </w:t>
      </w:r>
      <w:r>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змінами, він зобов’язаний припинити використання електронного майданчика з дати набуття чинності таких змін. Продовження використання Користувачем електронного майданчика після оприлюднення змін до Договору, розцінюється як їх прийняття Користувачем. </w:t>
      </w:r>
    </w:p>
    <w:p w14:paraId="0F8320F5"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2. ПРЕДМЕТ ДОГОВОРУ</w:t>
      </w:r>
    </w:p>
    <w:p w14:paraId="34940BB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 За цим Договором,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надає Користувачу наступні послуги: </w:t>
      </w:r>
    </w:p>
    <w:p w14:paraId="2E92503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2.1.1. цілодобовий доступ до електронного майданчика (онлайн – сервісу) для участі в Аукціоні, що проводяться в ЕТС та вчинення інших дій в ЕТС; </w:t>
      </w:r>
    </w:p>
    <w:p w14:paraId="3E1C69A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2.1.2. цілодобове функціонування електронного майданчика, в тому числі цілісність даних, що передаються Користувачем до ЕТС під час реєстрації на електронному майданчику, подачі цінових пропозицій на Аукціон, участі в Аукціоні, та інших документів, або приймаються від </w:t>
      </w:r>
      <w:r w:rsidRPr="009F468E">
        <w:rPr>
          <w:rFonts w:ascii="Times New Roman" w:eastAsia="Times New Roman" w:hAnsi="Times New Roman" w:cs="Times New Roman"/>
          <w:sz w:val="24"/>
          <w:szCs w:val="24"/>
          <w:lang w:val="uk-UA" w:eastAsia="ru-RU"/>
        </w:rPr>
        <w:lastRenderedPageBreak/>
        <w:t xml:space="preserve">ЕТС, коректне та своєчасне відображення в ЕТС даних для автоматизованого оброблення даних, отриманих від Користувача та автоматизованого складання спеціалізованих звітів на основі цих даних; </w:t>
      </w:r>
    </w:p>
    <w:p w14:paraId="630DB35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2.1.3. консультаційну підтримку з питань роботи ЕТС та порядку участі в Аукціоні, які проводяться в ЕТС. </w:t>
      </w:r>
    </w:p>
    <w:p w14:paraId="1FA63BB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2.2. Користувач отримує Послуги по Договору після виконання п. 1.3. Договору. </w:t>
      </w:r>
    </w:p>
    <w:p w14:paraId="474EBCC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2.3. Подаючи заяву на участь у відповідному Аукціоні (цінову пропозицію), що проводиться в ЕТС, Користувач підтверджує, що він ознайомлений з положеннями та вимогами Регламенту роботи ЕТС та нормативно – правових актів, які регулюють порядок проведення відповідного Аукціону в ЕТС, погоджується та визнає їх у повному обсязі, приймає на себе права та обов’язки, які встановлені для Учасника відповідного Аукціону. </w:t>
      </w:r>
    </w:p>
    <w:p w14:paraId="32AC95C1" w14:textId="16A317F9"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2.4. Регламенти роботи ЕТС, нормативно – правові акти, які регулюють порядок організації та проведення Аукціонів в ЕТС, розміщені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 розділі </w:t>
      </w:r>
      <w:r w:rsidRPr="00D045ED">
        <w:rPr>
          <w:rFonts w:ascii="Times New Roman" w:eastAsia="Times New Roman" w:hAnsi="Times New Roman" w:cs="Times New Roman"/>
          <w:sz w:val="24"/>
          <w:szCs w:val="24"/>
          <w:lang w:val="uk-UA" w:eastAsia="ru-RU"/>
        </w:rPr>
        <w:t>«</w:t>
      </w:r>
      <w:r w:rsidR="00D045ED" w:rsidRPr="00D045ED">
        <w:rPr>
          <w:rFonts w:ascii="Times New Roman" w:eastAsia="Times New Roman" w:hAnsi="Times New Roman" w:cs="Times New Roman"/>
          <w:sz w:val="24"/>
          <w:szCs w:val="24"/>
          <w:lang w:val="uk-UA" w:eastAsia="ru-RU"/>
        </w:rPr>
        <w:t>Нормативно-правові документи</w:t>
      </w:r>
      <w:r w:rsidRPr="00D045ED">
        <w:rPr>
          <w:rFonts w:ascii="Times New Roman" w:eastAsia="Times New Roman" w:hAnsi="Times New Roman" w:cs="Times New Roman"/>
          <w:sz w:val="24"/>
          <w:szCs w:val="24"/>
          <w:lang w:val="uk-UA" w:eastAsia="ru-RU"/>
        </w:rPr>
        <w:t>»</w:t>
      </w:r>
      <w:r w:rsidRPr="009F468E">
        <w:rPr>
          <w:rFonts w:ascii="Times New Roman" w:eastAsia="Times New Roman" w:hAnsi="Times New Roman" w:cs="Times New Roman"/>
          <w:sz w:val="24"/>
          <w:szCs w:val="24"/>
          <w:lang w:val="uk-UA" w:eastAsia="ru-RU"/>
        </w:rPr>
        <w:t xml:space="preserve">. Користувач приймає умови таких Регламентів роботи ЕТС, нормативно – правових актів, які регулюють порядок організації та проведення Аукціонів в ЕТС в редакції, чинній на момент подачі заяви на участь у відповідному Аукціоні (цінову пропозицію), а також надає згоду на всі подальші зміни (доповнення), що вносяться та зобов'язується самостійно з ними ознайомлюватися. </w:t>
      </w:r>
    </w:p>
    <w:p w14:paraId="21F9CBD5"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3. ПРАВА ТА ОБОВ’ЯЗКИ СТОРІН</w:t>
      </w:r>
    </w:p>
    <w:p w14:paraId="070D5F2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зобов’язується: </w:t>
      </w:r>
    </w:p>
    <w:p w14:paraId="27074A0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3.1.1. Дотримуватись вимог Регламенту роботи ЕТС, інших нормативно-правових актів, що регулюють порядок організації та проведення Аукціонів в ЕТС. </w:t>
      </w:r>
    </w:p>
    <w:p w14:paraId="5DAFF4F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3.1.2. Забезпечити передачу та цілісність даних Користувача, що надсилаються до ЕТС або приймаються від ЕТС (оновлення інформації) або окремих файлів, в тому числі, захист від несанкціонованого доступу і ненавмисного знищення та/або спотворення даних Користувача, що містяться в ЕТС. Захист має забезпечувати неможливість витоку, знищення та блокування інформації, порушення цілісності та режиму доступу до інформації, антивірусну та технічну перевірку інформації та матеріалів перед їх передачею до ЕТС та/або збереженням. </w:t>
      </w:r>
    </w:p>
    <w:p w14:paraId="42557C5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3.1.3. Забезпечити Користувачу технічну можливість та цілодобовий доступ до електронного майданчика та його функціоналу, для перегляду інформації, в тому числі перебігу Аукціонів в ЕТС, вчинення дій в ЕТС. </w:t>
      </w:r>
    </w:p>
    <w:p w14:paraId="648F58C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3.1.4. Забезпечити нерозголошення унікальних гіперпосилань, конфіденційної інформації та інформації, що не підлягає розголошенню згідно Регламенту роботи ЕТС та нормативно – правових актів. </w:t>
      </w:r>
    </w:p>
    <w:p w14:paraId="6A4D1E2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3.1.5. Проводити перевірку відповідності ідентифікаційної інформації (для громадян України - паспортні дані; для іноземних громадян - дані документа, що посвідчує особу; для юридичних осіб - резидентів - дані Єдиного державного реєстру юридичних осіб, фізичних осіб - підприємців та громадських формувань; для юридичних осіб - нерезидентів - дані документа про реєстрацію у державі місцезнаходження), наданої Користувачем під час реєстрації на електронному майданчику та/або наданої Користувачем, який має намір взяти участь в Аукціоні. Невідповідність наданої інформації є підставою для відмови Користувачу у доступі до участі в Аукціоні. </w:t>
      </w:r>
    </w:p>
    <w:p w14:paraId="2B8AE54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3.1.6. Проінформувати Користувача, який має намір взяти участь в Аукціоні, про зарахування на банківський рахунок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гарантійного та реєстраційного внесків протягом однієї години з моменту їх зарахування та набуття права на подання заяви на участь в Аукціоні для отримання статусу учасника Аукціону. </w:t>
      </w:r>
    </w:p>
    <w:p w14:paraId="0A89F11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3.1.7. Розміщувати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інструкції з детальною інформацією про користування електронним майданчиком, описом умов реєстрації та механізму завантаження документів для участі в Аукціоні. </w:t>
      </w:r>
    </w:p>
    <w:p w14:paraId="68F1D5B7"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3.2.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w:t>
      </w:r>
    </w:p>
    <w:p w14:paraId="20A0C4B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3.2.1. Запитувати у Користувача інформацію, в тому числі документи (оригінали, копії, в електронному вигляді) з метою верифікації даних, що надаються Користувачем під час реєстрації на електронному майданчику або подання заяви на участь в Аукціоні. </w:t>
      </w:r>
    </w:p>
    <w:p w14:paraId="52A693C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3.2.2.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зупинити надання Послуг по Договору та/або не допустити Користувача до участі в Аукціону, у випадках передбачених Регламентом або нормативно – правовими актами, що регулюють порядок організації та проведення Аукціону, в тому числі, якщо у Користувача наявна заборгованість перед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за надані Послуги по Договору.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повідомляє Користувачу про тимчасове обмеження або припинення доступу до електронного майданчика шляхом надсилання повідомлення на електронну пошту або розміщення повідомлення в особистому кабінеті. </w:t>
      </w:r>
    </w:p>
    <w:p w14:paraId="5B7F9B6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 Користувач зобов’язується: </w:t>
      </w:r>
    </w:p>
    <w:p w14:paraId="49795FB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3.3.1. Дотримуватись вимог Регламенту роботи ЕТС, інших нормативно-правових актів, що регулюють порядок організації та проведення Аукціонів в ЕТС. </w:t>
      </w:r>
    </w:p>
    <w:p w14:paraId="5058AF4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3.3.2. Своєчасно розміщувати актуальні документи та інформацію, надану при реєстрації на електронному майданчику, в тому числі оновлювати та зберігати свої </w:t>
      </w:r>
      <w:proofErr w:type="spellStart"/>
      <w:r w:rsidRPr="009F468E">
        <w:rPr>
          <w:rFonts w:ascii="Times New Roman" w:eastAsia="Times New Roman" w:hAnsi="Times New Roman" w:cs="Times New Roman"/>
          <w:sz w:val="24"/>
          <w:szCs w:val="24"/>
          <w:lang w:val="uk-UA" w:eastAsia="ru-RU"/>
        </w:rPr>
        <w:t>авторизаційні</w:t>
      </w:r>
      <w:proofErr w:type="spellEnd"/>
      <w:r w:rsidRPr="009F468E">
        <w:rPr>
          <w:rFonts w:ascii="Times New Roman" w:eastAsia="Times New Roman" w:hAnsi="Times New Roman" w:cs="Times New Roman"/>
          <w:sz w:val="24"/>
          <w:szCs w:val="24"/>
          <w:lang w:val="uk-UA" w:eastAsia="ru-RU"/>
        </w:rPr>
        <w:t xml:space="preserve"> дані в актуальному стані. </w:t>
      </w:r>
    </w:p>
    <w:p w14:paraId="7549873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3.3.3. Приймати участь в Аукціоні на умовах згідно оголошення про проведення такого Аукціону та вимог нормативно – правових актів, що регулюють порядок організації та проведення відповідного Аукціону. </w:t>
      </w:r>
    </w:p>
    <w:p w14:paraId="20D63BC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3.3.4. Користувач зобов’язаний відповідати вимогам, які пред’являються до учасника відповідного Аукціону. Невідповідність таким вимогам є підставою для </w:t>
      </w:r>
      <w:proofErr w:type="spellStart"/>
      <w:r w:rsidRPr="009F468E">
        <w:rPr>
          <w:rFonts w:ascii="Times New Roman" w:eastAsia="Times New Roman" w:hAnsi="Times New Roman" w:cs="Times New Roman"/>
          <w:sz w:val="24"/>
          <w:szCs w:val="24"/>
          <w:lang w:val="uk-UA" w:eastAsia="ru-RU"/>
        </w:rPr>
        <w:t>недопуску</w:t>
      </w:r>
      <w:proofErr w:type="spellEnd"/>
      <w:r w:rsidRPr="009F468E">
        <w:rPr>
          <w:rFonts w:ascii="Times New Roman" w:eastAsia="Times New Roman" w:hAnsi="Times New Roman" w:cs="Times New Roman"/>
          <w:sz w:val="24"/>
          <w:szCs w:val="24"/>
          <w:lang w:val="uk-UA" w:eastAsia="ru-RU"/>
        </w:rPr>
        <w:t xml:space="preserve"> Користувача до відповідного Аукціону або дискваліфікації Користувача, якого визнано переможцем. </w:t>
      </w:r>
    </w:p>
    <w:p w14:paraId="55C0FF1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3.3.5. Реєструючи свою заяву на участь (закриту цінову пропозицію) у відповідному Аукціоні, Користувач надає </w:t>
      </w:r>
      <w:r w:rsidRPr="00A74B1B">
        <w:rPr>
          <w:rFonts w:ascii="Times New Roman" w:eastAsia="Times New Roman" w:hAnsi="Times New Roman" w:cs="Times New Roman"/>
          <w:sz w:val="24"/>
          <w:szCs w:val="24"/>
          <w:lang w:val="uk-UA" w:eastAsia="ru-RU"/>
        </w:rPr>
        <w:t xml:space="preserve">Оператору </w:t>
      </w:r>
      <w:r w:rsidRPr="009F468E">
        <w:rPr>
          <w:rFonts w:ascii="Times New Roman" w:eastAsia="Times New Roman" w:hAnsi="Times New Roman" w:cs="Times New Roman"/>
          <w:sz w:val="24"/>
          <w:szCs w:val="24"/>
          <w:lang w:val="uk-UA" w:eastAsia="ru-RU"/>
        </w:rPr>
        <w:t xml:space="preserve">попередню згоду на очікування та підтверджує, що в разі внесення ним другої за розміром цінової пропозиції/закритої цінової пропозиції/ставки він погоджується на очікування результатів Аукціону та на отримання (повернення) свого гарантійного внеску після моменту, визначеного нормативно – правовими актами, які регулюють порядок проведення відповідного Аукціону в ЕТС. </w:t>
      </w:r>
    </w:p>
    <w:p w14:paraId="6805EF9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3.3.6. Користувач ознайомлений, що не можуть бути учасниками Аукціону (покупцями, орендарями) особи, перелік яких зазначено в нормативно – правових актах, які регулюють порядок проведення відповідного Аукціону та зобов’язаний негайно повідомити електронний майданчик про таку інформацію або скасувати свою заяву на участь (закриту цінову пропозицію) в Аукціоні. У випадку порушення даного положення, Користувач не допускається до участі в Аукціоні та/або буде дискваліфікований за результатами проведення Аукціону. </w:t>
      </w:r>
    </w:p>
    <w:p w14:paraId="46C63BF7"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3.3.7. Користувач ознайомлений, що до участі в повторному Аукціоні не допускаються переможці попереднього Аукціону, які в установлений строк не підписали протокол про результати Аукціону, договір за результатами проведення Аукціону, не сплатили належну суму за придбаний лот та/або суму витрат на підготовку лота до продажу. У випадку порушення даного положення, Користувач не допускається до участі в Аукціоні та/або буде дискваліфікований за результатами проведення Аукціону. </w:t>
      </w:r>
    </w:p>
    <w:p w14:paraId="3DF75C1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3.4. Користувач має право: </w:t>
      </w:r>
    </w:p>
    <w:p w14:paraId="559453F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3.4.1. Звертатися до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за консультаційною підтримкою з питань роботи електронного майданчика, порядку підготовки та участі в Аукціоні, умов проведення Аукціону. </w:t>
      </w:r>
    </w:p>
    <w:p w14:paraId="366514E0"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b/>
          <w:bCs/>
          <w:sz w:val="24"/>
          <w:szCs w:val="24"/>
          <w:lang w:val="uk-UA" w:eastAsia="ru-RU"/>
        </w:rPr>
        <w:t>4. ЦІНА ПОСЛУГ ТА ПОРЯДОК РОЗРАХУНКІВ.</w:t>
      </w:r>
      <w:r>
        <w:rPr>
          <w:rFonts w:ascii="Times New Roman" w:eastAsia="Times New Roman" w:hAnsi="Times New Roman" w:cs="Times New Roman"/>
          <w:b/>
          <w:bCs/>
          <w:sz w:val="24"/>
          <w:szCs w:val="24"/>
          <w:lang w:val="uk-UA" w:eastAsia="ru-RU"/>
        </w:rPr>
        <w:t xml:space="preserve"> </w:t>
      </w:r>
    </w:p>
    <w:p w14:paraId="5EDEA46C"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ОПЛАТА ГАРАНТІЙНИХ ВНЕСКІВ ТА РЕЄСТРАЦІЙНИХ ВНЕСКІВ</w:t>
      </w:r>
    </w:p>
    <w:p w14:paraId="1E56B547"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p>
    <w:p w14:paraId="7F7529C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 Ціна Послуг по Договору складається з загальної суми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отриманої по Договору. Розмір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встановлюється відповідно до Регламенту роботи ЕТС та нормативно – правових актів, що регулюють порядок проведення відповідного Аукціону та розміщені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 розділі «Тарифи». </w:t>
      </w:r>
    </w:p>
    <w:p w14:paraId="4CD1827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4.2. Право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на отримання винагороди виникає після визнання Користувача переможцем Аукціону та настання відповідної події згідно Регламенту роботи ЕТС та нормативно – правових актів, що регулюють порядок організації та проведення Аукціонів. </w:t>
      </w:r>
    </w:p>
    <w:p w14:paraId="1C87567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4.3. Розмір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вказується в протоколі електронного аукціону, згідно якого Користувача, визнано переможцем Аукціону. Розмір винагороди утримується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 гарантійного внеску Користувача після підписання протоколу електронного аукціону. У випадку, якщо винагорода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становить суму більшу ніж сума гарантійного внеску Користувача, останній зобов’язаний здійснити доплату відповідної різниці до повної суми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до моменту підписання договору за результатами проведення Аукціону в ЕТС. У випадку, коли відповідним Регламентом або нормативно – правовим актом передбачений порядок стягнення винагороди не із суми гарантійного внеску, Користувач, якого визнано переможцем Аукціону зобов'язаний сплатити винагороду протягом 3 (трьох) робочих днів з дня настання відповідної події, про яку зазначено в п. 4.2. Договору або з моменту виставлення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відповідного рахунк</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 За домовленістю Сторін, оплата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може здійснюватися Користувачем в формі сто відсоткової оплати окремим платежем, на підставі виставленого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рахунка. </w:t>
      </w:r>
    </w:p>
    <w:p w14:paraId="0F0CEC6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4.4. Користувач, згідно з умовами відповідного Аукціону та на підставі рахунк</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зобов’язаний в повному обсязі сплатити гарантійний та реєстраційний внески для набуття статусу учасника Аукціону. Реєстраційний та гарантійний внески вважаються сплаченими з моменту їх зарахування на банківський рахунок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не пізніше, ніж за 1 (одну) годину до закінчення кінцевого строку прийняття заяв на участь в Аукціоні/закритих цінових пропозицій. У випадку, коли перерахунок було здійснено в проміжок часу менше, ніж за 2 (дві) години до закінчення строку, Користувач зобов’язаний зв’язатись із </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повноваженою особою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та повідомити про такий платіж. </w:t>
      </w:r>
    </w:p>
    <w:p w14:paraId="7DD5BE5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4.5. Розмір реєстраційного внеску залежить від виду Аукціону, встановлюється відповідно до Регламенту роботи ЕТС та/або нормативно – правових актів, що регулюють порядок проведення Аукціонів. У разі перерахування суми реєстраційного внеску на бюджетні рахунки, сума цього внеску не включається до сум, які визначені в Акті надання послуг по Договору. </w:t>
      </w:r>
    </w:p>
    <w:p w14:paraId="0BF540F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4.6. Розмір гарантійного внеску встановлюється Регламентом роботи ЕТС та нормативно – правових актів, що регулюють порядок проведення Аукціонів. Гарантійний внесок як забезпечувальний платіж сплачується Користувачем з метою забезпечення виконання своїх зобов’язань для участі в Аукціоні. </w:t>
      </w:r>
    </w:p>
    <w:p w14:paraId="5ACB1B2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4.7. Порядок та строки повернення гарантійного внеску Користувачу, здійснюється відповідно до Регламенту роботи ЕТС та нормативно – правових актів, що регулюють порядок проведення Аукціонів. Повернення гарантійних внесків відбувається шляхом зарахування коштів на рахунок Користувача, вказаного в особистому кабінеті на електронному майданчику. </w:t>
      </w:r>
    </w:p>
    <w:p w14:paraId="3CDC861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4.8. Користувач ознайомлений та погоджується, що гарантійний внесок, перерахований за участь в Аукціоні не повертається у наступних випадках: </w:t>
      </w:r>
    </w:p>
    <w:p w14:paraId="73104C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 якщо Користувача визнано переможцем Аукціону, але він у встановлені строки не підписав протокол про результати Аукціону, та/або не підписав договір за результатами Аукціону та/або не здійснив розрахунок згідно з укладеним договором за результатами Аукціону та/або не оплатив суму витрат на підготовку лота до продажу; </w:t>
      </w:r>
    </w:p>
    <w:p w14:paraId="53540D9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якщо Користувач не відповідає кваліфікаційним вимогам або документально не підтвердив свою відповідність кваліфікаційним вимогам організатора Аукціону або надав недостовірні відомості про себе; </w:t>
      </w:r>
    </w:p>
    <w:p w14:paraId="5A9B199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 інших випадках, передбачених Регламентом роботи ЕТС та нормативно – правових актів, що регулюють порядок проведення Аукціонів. </w:t>
      </w:r>
    </w:p>
    <w:p w14:paraId="0B30F89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4.9. Регламентом роботи ЕТС та нормативно – правовими актами, що регулюють порядок проведення Аукціонів можуть бути передбачені додаткові платежі для участі в Аукціоні та порядок їх сплати. </w:t>
      </w:r>
    </w:p>
    <w:p w14:paraId="70BC962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4.10. Підтвердженням отримання Послуг по Договору є підписаний Сторонами Акт надання послуг (надалі - Акт). Акт надається на підписання Користувачу, якого визнано переможцем, в електронному або паперовому вигляді, не пізніше 15 (п’ятнадцятого) числа місяця, наступного за тим, в якому відбувся Аукціон. Акт надсилається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на адресу Користувача зручним для Сторін способом, в тому числі за допомогою електронної пошти або систем електронного документообігу. Обов’язки </w:t>
      </w:r>
      <w:r w:rsidRPr="00A74B1B">
        <w:rPr>
          <w:rFonts w:ascii="Times New Roman" w:eastAsia="Times New Roman" w:hAnsi="Times New Roman" w:cs="Times New Roman"/>
          <w:sz w:val="24"/>
          <w:szCs w:val="24"/>
          <w:lang w:val="uk-UA" w:eastAsia="ru-RU"/>
        </w:rPr>
        <w:t xml:space="preserve">Оператора </w:t>
      </w:r>
      <w:r w:rsidRPr="009F468E">
        <w:rPr>
          <w:rFonts w:ascii="Times New Roman" w:eastAsia="Times New Roman" w:hAnsi="Times New Roman" w:cs="Times New Roman"/>
          <w:sz w:val="24"/>
          <w:szCs w:val="24"/>
          <w:lang w:val="uk-UA" w:eastAsia="ru-RU"/>
        </w:rPr>
        <w:t xml:space="preserve">за цим Договором </w:t>
      </w:r>
      <w:r w:rsidRPr="00A74B1B">
        <w:rPr>
          <w:rFonts w:ascii="Times New Roman" w:eastAsia="Times New Roman" w:hAnsi="Times New Roman" w:cs="Times New Roman"/>
          <w:sz w:val="24"/>
          <w:szCs w:val="24"/>
          <w:lang w:val="uk-UA" w:eastAsia="ru-RU"/>
        </w:rPr>
        <w:t xml:space="preserve"> </w:t>
      </w:r>
      <w:proofErr w:type="spellStart"/>
      <w:r w:rsidRPr="009F468E">
        <w:rPr>
          <w:rFonts w:ascii="Times New Roman" w:eastAsia="Times New Roman" w:hAnsi="Times New Roman" w:cs="Times New Roman"/>
          <w:sz w:val="24"/>
          <w:szCs w:val="24"/>
          <w:lang w:val="uk-UA" w:eastAsia="ru-RU"/>
        </w:rPr>
        <w:t>важаються</w:t>
      </w:r>
      <w:proofErr w:type="spellEnd"/>
      <w:r w:rsidRPr="009F468E">
        <w:rPr>
          <w:rFonts w:ascii="Times New Roman" w:eastAsia="Times New Roman" w:hAnsi="Times New Roman" w:cs="Times New Roman"/>
          <w:sz w:val="24"/>
          <w:szCs w:val="24"/>
          <w:lang w:val="uk-UA" w:eastAsia="ru-RU"/>
        </w:rPr>
        <w:t xml:space="preserve"> виконаними належним чином, якщо протягом 3 (трьох) робочих днів з моменту надіслання Акту, Користувачем не пред’явлено </w:t>
      </w:r>
      <w:r w:rsidRPr="00A74B1B">
        <w:rPr>
          <w:rFonts w:ascii="Times New Roman" w:eastAsia="Times New Roman" w:hAnsi="Times New Roman" w:cs="Times New Roman"/>
          <w:sz w:val="24"/>
          <w:szCs w:val="24"/>
          <w:lang w:val="uk-UA" w:eastAsia="ru-RU"/>
        </w:rPr>
        <w:t>Оператору</w:t>
      </w:r>
      <w:r w:rsidRPr="009F468E">
        <w:rPr>
          <w:rFonts w:ascii="Times New Roman" w:eastAsia="Times New Roman" w:hAnsi="Times New Roman" w:cs="Times New Roman"/>
          <w:sz w:val="24"/>
          <w:szCs w:val="24"/>
          <w:lang w:val="uk-UA" w:eastAsia="ru-RU"/>
        </w:rPr>
        <w:t xml:space="preserve"> відповідних обґрунтованих письмових претензій (зауважень/заперечень). У випадку не надання Користувачем таких претензій (зауважень/заперечень) у вказаний строк, Акт вважається підписаним Користувачем, а Послуги – надані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в повному обсязі та належним чином. </w:t>
      </w:r>
    </w:p>
    <w:p w14:paraId="0DDA7C2B"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4.11. Якщо Користувач, якого визнано переможцем Аукціону є фізична особа, підтвердженням належного надання послуг по Договору є підписаний і опублікований в ЕТС Протокол електронного аукціону. При цьому, підписання Акту не є обов’язковим. </w:t>
      </w:r>
    </w:p>
    <w:p w14:paraId="11DA311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sz w:val="24"/>
          <w:szCs w:val="24"/>
          <w:lang w:val="uk-UA" w:eastAsia="ru-RU"/>
        </w:rPr>
        <w:t xml:space="preserve">4.12. Користувач самостійно відповідає за виконання податкових зобов’язань, які виникають з продажу/надання в оренду об’єкта (майна)/передачі права.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не є податковим агентом Користувача, а також не є гарантом виконання його зобов’язань перед організатором Аукціону чи іншими особами. </w:t>
      </w:r>
    </w:p>
    <w:p w14:paraId="7A9A5DC0"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5. ВІДПОВІДАЛЬНІСТЬ СТОРІН. ФОРС-МАЖОР</w:t>
      </w:r>
    </w:p>
    <w:p w14:paraId="0F0B8E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5.1. Сторони несуть відповідальність за невиконання або неналежне виконання умов даного Договору у відповідності до цього Договору, Регламенту роботи ЕТС та чинного законодавства України. </w:t>
      </w:r>
    </w:p>
    <w:p w14:paraId="4966B92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своїх зобов’язань за цим Договором. </w:t>
      </w:r>
    </w:p>
    <w:p w14:paraId="04DA52F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5.3. Користувач в повному обсязі несе відповідальність за: </w:t>
      </w:r>
    </w:p>
    <w:p w14:paraId="46AE2F0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зміст документів та інформації, що оприлюднюються під час участі в аукціоні; </w:t>
      </w:r>
    </w:p>
    <w:p w14:paraId="234F73E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достовірність та повноту відомостей, зазначених Користувачем під час реєстрації на електронному майданчику; </w:t>
      </w:r>
    </w:p>
    <w:p w14:paraId="3A1DC2D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свої дії, які вчиняються на електронному майданчику під час Аукціону, та дії осіб, які вчиняються від його імені з використанням його даних персональної ідентифікації; </w:t>
      </w:r>
    </w:p>
    <w:p w14:paraId="22C8000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розміщення на електронному майданчику інформації шкідливого та образливого характеру та інформації, що не має відношення до проведення торгів. </w:t>
      </w:r>
    </w:p>
    <w:p w14:paraId="6DB6E60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5.4.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не несе відповідальність за: </w:t>
      </w:r>
    </w:p>
    <w:p w14:paraId="1CA3D60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 зміст інформаційного повідомлення розміщеного в ЕТС, опис лоту та умови його продажу в ЕТС; </w:t>
      </w:r>
    </w:p>
    <w:p w14:paraId="54561CE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розміри цінових пропозицій, що надається Користувачами під час проведення Аукціонів; </w:t>
      </w:r>
    </w:p>
    <w:p w14:paraId="069FFF1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не укладання або неналежне виконання Користувачами, визнаних переможцями договорів за результатами аукціону; </w:t>
      </w:r>
    </w:p>
    <w:p w14:paraId="430A1D8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відсутність можливості взаємодії Користувача з ЕТС внаслідок зараження його комп’ютерної техніки вірусами та іншими шкідливими комп'ютерними програмами; </w:t>
      </w:r>
    </w:p>
    <w:p w14:paraId="761A92E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недоліки в роботі інтернет-провайдерів, що надають послуги Користувачу та встановлені ними обмеження, які перешкоджають Користувачу взаємодіяти з ЕТС; </w:t>
      </w:r>
    </w:p>
    <w:p w14:paraId="7482E58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відсутність або невідповідність програмно-технічного забезпечення (комп’ютерної техніки) Користувача, що забезпечує стабільну та належну роботу в ЕТС; </w:t>
      </w:r>
    </w:p>
    <w:p w14:paraId="5CAD94F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вчинення Користувачем дій в ЕТС, що суперечать чинному законодавству України та Регламентам роботи ЕТС. </w:t>
      </w:r>
    </w:p>
    <w:p w14:paraId="0A387E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5.5. В разі несвоєчасної оплати (доплати) суми винагороди або плати за участь за надані Послуги, Користувач на вимогу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зобов’язаний сплатити пеню у розмірі подвійної облікової ставки НБУ від суми заборгованості за весь час прострочення. У разі, коли прострочення суми оплати (доплати) становить більше 15 (п’ятнадцяти) календарних днів,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в односторонньому порядку припинити дію цього Договору шляхом направлення відповідного повідомлення Користувачу електронною поштою або розміщення повідомлення в особистому кабінеті Користувача. </w:t>
      </w:r>
    </w:p>
    <w:p w14:paraId="3459EC3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5.6. У випадку порушення п. 3.3.4, 3.3.7, 3.3.8 Договору, Користувач зобов’язується компенсувати </w:t>
      </w:r>
      <w:r w:rsidRPr="00A74B1B">
        <w:rPr>
          <w:rFonts w:ascii="Times New Roman" w:eastAsia="Times New Roman" w:hAnsi="Times New Roman" w:cs="Times New Roman"/>
          <w:sz w:val="24"/>
          <w:szCs w:val="24"/>
          <w:lang w:val="uk-UA" w:eastAsia="ru-RU"/>
        </w:rPr>
        <w:t xml:space="preserve">Оператору </w:t>
      </w:r>
      <w:r w:rsidRPr="009F468E">
        <w:rPr>
          <w:rFonts w:ascii="Times New Roman" w:eastAsia="Times New Roman" w:hAnsi="Times New Roman" w:cs="Times New Roman"/>
          <w:sz w:val="24"/>
          <w:szCs w:val="24"/>
          <w:lang w:val="uk-UA" w:eastAsia="ru-RU"/>
        </w:rPr>
        <w:t xml:space="preserve">збитки у повному обсязі, в тому числі матеріальні витрати та/або штрафні санкції, які виникли або були застосовані до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на підставі рішень Комісій, які розглядають спори щодо організації та проведення аукціонів в ЕТС. </w:t>
      </w:r>
    </w:p>
    <w:p w14:paraId="78C89DA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5.7. Сторони звільняються від відповідальності за порушення зобов’язань за цим Договором, якщо таке порушення є наслідком дії обставин непереборної сили за умови, що Сторона, яка порушила зобов’язання, доведе існування таких обставин та доведе, що їх існування дійсно перешкоджає виконанню такою Стороною своїх зобов'язань за цим Договором. </w:t>
      </w:r>
    </w:p>
    <w:p w14:paraId="4355D48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5.8. Сторона не може посилатися на обставини непереборної сили, як на підставу для звільнення від виконання своїх зобов'язань, якщо хоча обставини непереборної сили виникли та об'єктивно існують, але вони не перешкоджають здійсненню Стороною своїх зобов'язань. Обов'язок доведення неможливості виконання зобов'язань за цим Договором через дію обставин непереборної сили покладається на Сторону, яка посилається на дію таких обставин. </w:t>
      </w:r>
    </w:p>
    <w:p w14:paraId="4EC83C3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5.9. Сторона, нездатна виконувати свої зобов’язання за Договором внаслідок обставин непереборної сили, повинна негайно, але не пізніше 5 (п’яти) днів з моменту виникнення таких обставин або з моменту, коли Стороні мало стати відомо про виникнення таких обставин, письмово повідомити іншу Сторону, додавши на підтвердження документ Торгово-промислової палати України або іншого уповноваженого органу державної влади. </w:t>
      </w:r>
    </w:p>
    <w:p w14:paraId="72BA70F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sz w:val="24"/>
          <w:szCs w:val="24"/>
          <w:lang w:val="uk-UA" w:eastAsia="ru-RU"/>
        </w:rPr>
        <w:t xml:space="preserve">5.10. Якщо дія обставин непереборної сили/їх наслідків продовжується понад 60 календарних днів, будь-яка зі Сторін має право припинити дію Договору за умови письмового повідомлення іншої Сторони не менш ніж за 30 днів до дати припинення та надання іншій Стороні на затвердження Акту звірки взаєморозрахунків. При цьому Договір припиняється тільки після підписання такого Акту обома Сторонами. </w:t>
      </w:r>
    </w:p>
    <w:p w14:paraId="758C2737"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6. ПОРЯДОК ВИРІШЕННЯ СПОРІВ</w:t>
      </w:r>
    </w:p>
    <w:p w14:paraId="1CC95C7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6.1. Всі спори та/або розбіжності, що виникають між Сторонами за цим Договором, або в зв’язку з ним, вирішуються за місцезнаходженням </w:t>
      </w:r>
      <w:r w:rsidRPr="00644BF9">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відповідно до положень Регламенту роботи ЕТС та норм чинного законодавства України. </w:t>
      </w:r>
    </w:p>
    <w:p w14:paraId="73EC57CE"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lastRenderedPageBreak/>
        <w:t>7. ЗАХИСТ ПЕРСОНАЛЬНИХ ДАНИХ</w:t>
      </w:r>
    </w:p>
    <w:p w14:paraId="4CF1643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7.1. Усі документи, відомості, інформація про Користувача, його уповноважених осіб, отримані </w:t>
      </w:r>
      <w:r w:rsidRPr="00224BD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та пов‘язані з використанням електронного майданчика, оброблюються (у тому числі зберігаються) з метою забезпечення повноцінного функціонування електронного майданчика (в цілому, його окремих сервісів, модулів), забезпечення та задоволення потреб та вимог Користувача, учасників аукціонів, у повній відповідності до вимог законів України «Про захист персональних даних», «Про захист інформації в інформаційно-телекомунікаційних системах», Регламентів роботи ЕТС. </w:t>
      </w:r>
    </w:p>
    <w:p w14:paraId="639F28F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7.2. Реєструючи свою заяву на участь (закриту цінову пропозицію) у відповідному Аукціоні, Користувач надає </w:t>
      </w:r>
      <w:r w:rsidRPr="00224BDB">
        <w:rPr>
          <w:rFonts w:ascii="Times New Roman" w:eastAsia="Times New Roman" w:hAnsi="Times New Roman" w:cs="Times New Roman"/>
          <w:sz w:val="24"/>
          <w:szCs w:val="24"/>
          <w:lang w:val="uk-UA" w:eastAsia="ru-RU"/>
        </w:rPr>
        <w:t>Оператору</w:t>
      </w:r>
      <w:r w:rsidRPr="009F468E">
        <w:rPr>
          <w:rFonts w:ascii="Times New Roman" w:eastAsia="Times New Roman" w:hAnsi="Times New Roman" w:cs="Times New Roman"/>
          <w:sz w:val="24"/>
          <w:szCs w:val="24"/>
          <w:lang w:val="uk-UA" w:eastAsia="ru-RU"/>
        </w:rPr>
        <w:t xml:space="preserve"> згоду на збирання, обробку (реєстрацію, накопичення, зберігання, адаптування, зміну, поновлення), використання і поширення (розповсюдження, реалізацію, передачу третім особам), знеособлення, публікацію, знищення своїх персональних даних відповідно до Закону України «Про захист персональних даних». Оброблення персональних даних користувачів здійснюється електронним майданчиком з використанням інформаційних (автоматизованих) систем, так і у деяких випадках - уповноваженими працівниками </w:t>
      </w:r>
      <w:r w:rsidRPr="00644BF9">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у електронному та паперовому вигляді, в картотеках, систематизованих документах (протоколах, відомостях, книгах, реєстрах), інших окремих документах (договорах, рахунках, актах тощо). </w:t>
      </w:r>
    </w:p>
    <w:p w14:paraId="6BF2628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7.3. Відповідно до вимог нормативно – правових актів, що регулюють порядок проведення Аукціонів в ЕТС, персональні дані Користувача можуть передаватись замовнику (організатору) Аукціону, Адміністратору ЕТС у складі інформації про потенційних покупців, осіб, що подали заявку на участь в аукціонах, учасників та переможців аукціонів. </w:t>
      </w:r>
    </w:p>
    <w:p w14:paraId="4CBB42C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7.4. Користувач дає свою згоду на те, що його персональні дані, в тому числі всі документи, що були надані з заявою про участь в Аукціоні (ціновою пропозицією) будуть розміщені (оприлюднені) в ЕТС у порядку, передбаченому Регламентом роботи ЕТС та чинним законодавством України, в разі їх участі та/або перемоги в аукціонах та доступні необмеженому колу осіб. Виключно Адміністратор ЕТС здійснює обмежений доступ до інформації та документів відповідно до вимог чинного законодавства. </w:t>
      </w:r>
    </w:p>
    <w:p w14:paraId="46FE268F"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8. ДОДАТКОВІ УМОВИ ДОГОВОРУ</w:t>
      </w:r>
    </w:p>
    <w:p w14:paraId="1F1A1A5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8.1. Весь обмін інформацією за цим Договором, включаючи виставлення рахунків на оплату, надання Актів, надання повідомлень щодо зміни/доповнення/припинення цього Договору тощо, здійснюється шляхом обміну електронними або паперовими повідомленнями за </w:t>
      </w:r>
      <w:proofErr w:type="spellStart"/>
      <w:r w:rsidRPr="009F468E">
        <w:rPr>
          <w:rFonts w:ascii="Times New Roman" w:eastAsia="Times New Roman" w:hAnsi="Times New Roman" w:cs="Times New Roman"/>
          <w:sz w:val="24"/>
          <w:szCs w:val="24"/>
          <w:lang w:val="uk-UA" w:eastAsia="ru-RU"/>
        </w:rPr>
        <w:t>адресою</w:t>
      </w:r>
      <w:proofErr w:type="spellEnd"/>
      <w:r w:rsidRPr="009F468E">
        <w:rPr>
          <w:rFonts w:ascii="Times New Roman" w:eastAsia="Times New Roman" w:hAnsi="Times New Roman" w:cs="Times New Roman"/>
          <w:sz w:val="24"/>
          <w:szCs w:val="24"/>
          <w:lang w:val="uk-UA" w:eastAsia="ru-RU"/>
        </w:rPr>
        <w:t xml:space="preserve">, вказаною Користувачем в особистому кабінеті або іншим зручним для Сторін способом. </w:t>
      </w:r>
    </w:p>
    <w:p w14:paraId="4772102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8.2. Сторони домовилися про можливість використання за цим Договором способу отримання первинних фінансово-господарських документів (рахунків, Актів надання послуг, Актів відміни, інших документів), шляхом отримання їх, підписаних електронним підписом (кваліфікованим електронним підписом), в електронному вигляді та обміну такими документами за допомогою систем електронного документообігу. </w:t>
      </w:r>
    </w:p>
    <w:p w14:paraId="7DE305CD" w14:textId="77777777" w:rsidR="00921F75" w:rsidRDefault="00921F75" w:rsidP="00921F75">
      <w:pPr>
        <w:spacing w:before="120" w:after="120" w:line="240" w:lineRule="auto"/>
        <w:jc w:val="center"/>
        <w:rPr>
          <w:rFonts w:ascii="Times New Roman" w:eastAsia="Times New Roman" w:hAnsi="Times New Roman" w:cs="Times New Roman"/>
          <w:b/>
          <w:sz w:val="24"/>
          <w:szCs w:val="24"/>
          <w:lang w:val="uk-UA" w:eastAsia="ru-RU"/>
        </w:rPr>
      </w:pPr>
      <w:r w:rsidRPr="00D92628">
        <w:rPr>
          <w:rFonts w:ascii="Times New Roman" w:eastAsia="Times New Roman" w:hAnsi="Times New Roman" w:cs="Times New Roman"/>
          <w:b/>
          <w:sz w:val="24"/>
          <w:szCs w:val="24"/>
          <w:lang w:val="uk-UA" w:eastAsia="ru-RU"/>
        </w:rPr>
        <w:t>9. АНТИКОРУПЦІЙНЕ ЗАСТЕРЕЖЕННЯ</w:t>
      </w:r>
    </w:p>
    <w:p w14:paraId="096294EB" w14:textId="77777777" w:rsidR="00921F75"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25F7B033" w14:textId="77777777" w:rsidR="00921F75"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A2F4A2D" w14:textId="77777777" w:rsidR="00921F75" w:rsidRPr="00D92628"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9.3. Сторони </w:t>
      </w:r>
      <w:proofErr w:type="spellStart"/>
      <w:r>
        <w:rPr>
          <w:rFonts w:ascii="Times New Roman" w:eastAsia="Times New Roman" w:hAnsi="Times New Roman" w:cs="Times New Roman"/>
          <w:sz w:val="24"/>
          <w:szCs w:val="24"/>
          <w:lang w:val="uk-UA" w:eastAsia="ru-RU"/>
        </w:rPr>
        <w:t>зобов</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язуються</w:t>
      </w:r>
      <w:proofErr w:type="spellEnd"/>
      <w:r>
        <w:rPr>
          <w:rFonts w:ascii="Times New Roman" w:eastAsia="Times New Roman" w:hAnsi="Times New Roman" w:cs="Times New Roman"/>
          <w:sz w:val="24"/>
          <w:szCs w:val="24"/>
          <w:lang w:val="uk-UA" w:eastAsia="ru-RU"/>
        </w:rPr>
        <w:t xml:space="preserve"> дотримуватись антикорупційного законодавства України.</w:t>
      </w:r>
    </w:p>
    <w:p w14:paraId="733D7C48"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666401">
        <w:rPr>
          <w:rFonts w:ascii="Times New Roman" w:eastAsia="Times New Roman" w:hAnsi="Times New Roman" w:cs="Times New Roman"/>
          <w:b/>
          <w:bCs/>
          <w:sz w:val="24"/>
          <w:szCs w:val="24"/>
          <w:lang w:val="uk-UA" w:eastAsia="ru-RU"/>
        </w:rPr>
        <w:t xml:space="preserve">10. </w:t>
      </w:r>
      <w:r w:rsidRPr="009F468E">
        <w:rPr>
          <w:rFonts w:ascii="Times New Roman" w:eastAsia="Times New Roman" w:hAnsi="Times New Roman" w:cs="Times New Roman"/>
          <w:b/>
          <w:bCs/>
          <w:sz w:val="24"/>
          <w:szCs w:val="24"/>
          <w:lang w:val="uk-UA" w:eastAsia="ru-RU"/>
        </w:rPr>
        <w:t xml:space="preserve"> РЕКВІЗИТИ </w:t>
      </w:r>
      <w:r>
        <w:rPr>
          <w:rFonts w:ascii="Times New Roman" w:eastAsia="Times New Roman" w:hAnsi="Times New Roman" w:cs="Times New Roman"/>
          <w:b/>
          <w:bCs/>
          <w:sz w:val="24"/>
          <w:szCs w:val="24"/>
          <w:lang w:val="uk-UA" w:eastAsia="ru-RU"/>
        </w:rPr>
        <w:t>ОПЕРАТОРА</w:t>
      </w:r>
    </w:p>
    <w:p w14:paraId="18D5D17E" w14:textId="77777777" w:rsidR="00921F75" w:rsidRPr="00921F75" w:rsidRDefault="00921F75" w:rsidP="00921F75">
      <w:pPr>
        <w:pStyle w:val="a9"/>
        <w:jc w:val="center"/>
        <w:rPr>
          <w:rFonts w:ascii="Times New Roman" w:hAnsi="Times New Roman" w:cs="Times New Roman"/>
          <w:b/>
          <w:bCs/>
        </w:rPr>
      </w:pPr>
      <w:r w:rsidRPr="00921F75">
        <w:rPr>
          <w:rFonts w:ascii="Times New Roman" w:hAnsi="Times New Roman" w:cs="Times New Roman"/>
          <w:b/>
          <w:bCs/>
        </w:rPr>
        <w:t>ТОВАРИСТВО З ОБМЕЖЕНОЮ ВІДПОВІДАЛЬНІСТЮ</w:t>
      </w:r>
    </w:p>
    <w:p w14:paraId="5DD281A6" w14:textId="77777777" w:rsidR="00921F75" w:rsidRPr="00921F75" w:rsidRDefault="00921F75" w:rsidP="00921F75">
      <w:pPr>
        <w:pStyle w:val="a9"/>
        <w:jc w:val="center"/>
        <w:rPr>
          <w:rFonts w:ascii="Times New Roman" w:hAnsi="Times New Roman" w:cs="Times New Roman"/>
          <w:b/>
          <w:bCs/>
        </w:rPr>
      </w:pPr>
      <w:r w:rsidRPr="00921F75">
        <w:rPr>
          <w:rFonts w:ascii="Times New Roman" w:hAnsi="Times New Roman" w:cs="Times New Roman"/>
          <w:b/>
          <w:bCs/>
        </w:rPr>
        <w:t>«БІРЖА ПОДІЛЬСЬКА»</w:t>
      </w:r>
    </w:p>
    <w:p w14:paraId="6FC4A3F4"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29000 м. Хмельницький,</w:t>
      </w:r>
    </w:p>
    <w:p w14:paraId="65D2C1FF"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вул. Героїв Майдану, 10</w:t>
      </w:r>
    </w:p>
    <w:p w14:paraId="6169454D"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lang w:val="en-US"/>
        </w:rPr>
        <w:t>UA</w:t>
      </w:r>
      <w:r w:rsidRPr="00921F75">
        <w:rPr>
          <w:rFonts w:ascii="Times New Roman" w:hAnsi="Times New Roman" w:cs="Times New Roman"/>
        </w:rPr>
        <w:t>673006140000026008500396902</w:t>
      </w:r>
    </w:p>
    <w:p w14:paraId="1E9489DE"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У АТ «КРЕДІ АГРІКОЛЬ Банк»,</w:t>
      </w:r>
    </w:p>
    <w:p w14:paraId="4379DCE5"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Код ЄДРПОУ 32452151</w:t>
      </w:r>
    </w:p>
    <w:p w14:paraId="351C0F77" w14:textId="77777777" w:rsidR="00921F75" w:rsidRPr="00921F75" w:rsidRDefault="00921F75" w:rsidP="00921F75">
      <w:pPr>
        <w:pStyle w:val="a9"/>
        <w:jc w:val="center"/>
        <w:rPr>
          <w:rFonts w:ascii="Times New Roman" w:hAnsi="Times New Roman" w:cs="Times New Roman"/>
        </w:rPr>
      </w:pPr>
      <w:proofErr w:type="spellStart"/>
      <w:r w:rsidRPr="00921F75">
        <w:rPr>
          <w:rFonts w:ascii="Times New Roman" w:hAnsi="Times New Roman" w:cs="Times New Roman"/>
          <w:lang w:val="en-US"/>
        </w:rPr>
        <w:t>birzha</w:t>
      </w:r>
      <w:proofErr w:type="spellEnd"/>
      <w:r w:rsidRPr="00921F75">
        <w:rPr>
          <w:rFonts w:ascii="Times New Roman" w:hAnsi="Times New Roman" w:cs="Times New Roman"/>
        </w:rPr>
        <w:t>.</w:t>
      </w:r>
      <w:r w:rsidRPr="00921F75">
        <w:rPr>
          <w:rFonts w:ascii="Times New Roman" w:hAnsi="Times New Roman" w:cs="Times New Roman"/>
          <w:lang w:val="en-US"/>
        </w:rPr>
        <w:t>km</w:t>
      </w:r>
      <w:r w:rsidRPr="00921F75">
        <w:rPr>
          <w:rFonts w:ascii="Times New Roman" w:hAnsi="Times New Roman" w:cs="Times New Roman"/>
        </w:rPr>
        <w:t>.</w:t>
      </w:r>
      <w:proofErr w:type="spellStart"/>
      <w:r w:rsidRPr="00921F75">
        <w:rPr>
          <w:rFonts w:ascii="Times New Roman" w:hAnsi="Times New Roman" w:cs="Times New Roman"/>
          <w:lang w:val="en-US"/>
        </w:rPr>
        <w:t>ua</w:t>
      </w:r>
      <w:proofErr w:type="spellEnd"/>
    </w:p>
    <w:p w14:paraId="108A0CA5"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Телефон: (0382) 79-58-01, 70-22-11,</w:t>
      </w:r>
    </w:p>
    <w:p w14:paraId="1B13C333" w14:textId="77777777" w:rsidR="00921F75" w:rsidRPr="00921F75" w:rsidRDefault="00921F75" w:rsidP="00921F75">
      <w:pPr>
        <w:pStyle w:val="a9"/>
        <w:jc w:val="center"/>
        <w:rPr>
          <w:rFonts w:ascii="Times New Roman" w:hAnsi="Times New Roman" w:cs="Times New Roman"/>
          <w:lang w:val="en-US"/>
        </w:rPr>
      </w:pPr>
      <w:r w:rsidRPr="00921F75">
        <w:rPr>
          <w:rFonts w:ascii="Times New Roman" w:hAnsi="Times New Roman" w:cs="Times New Roman"/>
          <w:lang w:val="en-US"/>
        </w:rPr>
        <w:t>067-370-22-11</w:t>
      </w:r>
    </w:p>
    <w:p w14:paraId="60344A46" w14:textId="77777777" w:rsidR="00921F75" w:rsidRPr="00921F75" w:rsidRDefault="00921F75" w:rsidP="00921F75">
      <w:pPr>
        <w:pStyle w:val="a9"/>
        <w:jc w:val="center"/>
        <w:rPr>
          <w:rFonts w:ascii="Times New Roman" w:hAnsi="Times New Roman" w:cs="Times New Roman"/>
          <w:lang w:val="en-US"/>
        </w:rPr>
      </w:pPr>
      <w:r w:rsidRPr="00921F75">
        <w:rPr>
          <w:rFonts w:ascii="Times New Roman" w:hAnsi="Times New Roman" w:cs="Times New Roman"/>
          <w:lang w:val="ru-RU"/>
        </w:rPr>
        <w:t>Е</w:t>
      </w:r>
      <w:r w:rsidRPr="00921F75">
        <w:rPr>
          <w:rFonts w:ascii="Times New Roman" w:hAnsi="Times New Roman" w:cs="Times New Roman"/>
          <w:lang w:val="en-US"/>
        </w:rPr>
        <w:t>-mail: info@birzha.km.ua</w:t>
      </w:r>
    </w:p>
    <w:p w14:paraId="51125BF6" w14:textId="77777777" w:rsidR="00921F75" w:rsidRPr="00921F75" w:rsidRDefault="00921F75" w:rsidP="00921F75">
      <w:pPr>
        <w:pStyle w:val="a9"/>
        <w:jc w:val="center"/>
        <w:rPr>
          <w:rFonts w:ascii="Times New Roman" w:hAnsi="Times New Roman" w:cs="Times New Roman"/>
        </w:rPr>
      </w:pPr>
    </w:p>
    <w:p w14:paraId="485EC1DC" w14:textId="77777777" w:rsidR="00921F75" w:rsidRPr="00921F75" w:rsidRDefault="00921F75" w:rsidP="00921F75">
      <w:pPr>
        <w:spacing w:after="0" w:line="240" w:lineRule="auto"/>
        <w:jc w:val="center"/>
        <w:rPr>
          <w:rFonts w:ascii="Times New Roman" w:eastAsia="Times New Roman" w:hAnsi="Times New Roman" w:cs="Times New Roman"/>
          <w:sz w:val="24"/>
          <w:szCs w:val="24"/>
          <w:lang w:val="uk-UA" w:eastAsia="ru-RU"/>
        </w:rPr>
      </w:pPr>
    </w:p>
    <w:p w14:paraId="763FF86C" w14:textId="77777777" w:rsidR="00921F75" w:rsidRPr="00921F75" w:rsidRDefault="00921F75" w:rsidP="00921F75">
      <w:pPr>
        <w:jc w:val="center"/>
        <w:rPr>
          <w:rFonts w:ascii="Times New Roman" w:hAnsi="Times New Roman" w:cs="Times New Roman"/>
          <w:lang w:val="uk-UA"/>
        </w:rPr>
      </w:pPr>
      <w:r w:rsidRPr="00921F75">
        <w:rPr>
          <w:rFonts w:ascii="Times New Roman" w:hAnsi="Times New Roman" w:cs="Times New Roman"/>
          <w:sz w:val="24"/>
          <w:szCs w:val="24"/>
        </w:rPr>
        <w:t xml:space="preserve">Директор        </w:t>
      </w:r>
      <w:proofErr w:type="spellStart"/>
      <w:r w:rsidRPr="00921F75">
        <w:rPr>
          <w:rFonts w:ascii="Times New Roman" w:hAnsi="Times New Roman" w:cs="Times New Roman"/>
          <w:sz w:val="24"/>
          <w:szCs w:val="24"/>
        </w:rPr>
        <w:t>О.С.Бацура</w:t>
      </w:r>
      <w:proofErr w:type="spellEnd"/>
    </w:p>
    <w:p w14:paraId="68582BBA" w14:textId="77777777" w:rsidR="0063492D" w:rsidRDefault="0063492D"/>
    <w:sectPr w:rsidR="0063492D" w:rsidSect="00921F75">
      <w:footerReference w:type="default" r:id="rId6"/>
      <w:pgSz w:w="11906" w:h="16838"/>
      <w:pgMar w:top="851"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5798" w14:textId="77777777" w:rsidR="00BB0644" w:rsidRDefault="00BB0644">
      <w:pPr>
        <w:spacing w:after="0" w:line="240" w:lineRule="auto"/>
      </w:pPr>
      <w:r>
        <w:separator/>
      </w:r>
    </w:p>
  </w:endnote>
  <w:endnote w:type="continuationSeparator" w:id="0">
    <w:p w14:paraId="4A8ED0B5" w14:textId="77777777" w:rsidR="00BB0644" w:rsidRDefault="00B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1673"/>
      <w:docPartObj>
        <w:docPartGallery w:val="Page Numbers (Bottom of Page)"/>
        <w:docPartUnique/>
      </w:docPartObj>
    </w:sdtPr>
    <w:sdtContent>
      <w:p w14:paraId="0F2A4FD5" w14:textId="77777777" w:rsidR="00921F75" w:rsidRDefault="00921F75">
        <w:pPr>
          <w:pStyle w:val="af"/>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7AE5" w14:textId="77777777" w:rsidR="00BB0644" w:rsidRDefault="00BB0644">
      <w:pPr>
        <w:spacing w:after="0" w:line="240" w:lineRule="auto"/>
      </w:pPr>
      <w:r>
        <w:separator/>
      </w:r>
    </w:p>
  </w:footnote>
  <w:footnote w:type="continuationSeparator" w:id="0">
    <w:p w14:paraId="2DE523E5" w14:textId="77777777" w:rsidR="00BB0644" w:rsidRDefault="00BB0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2D"/>
    <w:rsid w:val="0063492D"/>
    <w:rsid w:val="008B69C8"/>
    <w:rsid w:val="00921F75"/>
    <w:rsid w:val="00BB0644"/>
    <w:rsid w:val="00CB4F78"/>
    <w:rsid w:val="00D04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F72E"/>
  <w15:chartTrackingRefBased/>
  <w15:docId w15:val="{E57F659F-F3D9-41A9-A4F4-B77B5C83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75"/>
    <w:pPr>
      <w:spacing w:after="200" w:line="276" w:lineRule="auto"/>
    </w:pPr>
    <w:rPr>
      <w:kern w:val="0"/>
      <w:sz w:val="22"/>
      <w:szCs w:val="22"/>
      <w:lang w:val="ru-RU"/>
      <w14:ligatures w14:val="none"/>
    </w:rPr>
  </w:style>
  <w:style w:type="paragraph" w:styleId="1">
    <w:name w:val="heading 1"/>
    <w:basedOn w:val="a"/>
    <w:next w:val="a"/>
    <w:link w:val="10"/>
    <w:uiPriority w:val="9"/>
    <w:qFormat/>
    <w:rsid w:val="006349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6349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63492D"/>
    <w:pPr>
      <w:keepNext/>
      <w:keepLines/>
      <w:spacing w:before="160" w:after="80" w:line="278" w:lineRule="auto"/>
      <w:outlineLvl w:val="2"/>
    </w:pPr>
    <w:rPr>
      <w:rFonts w:eastAsiaTheme="majorEastAsia"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63492D"/>
    <w:pPr>
      <w:keepNext/>
      <w:keepLines/>
      <w:spacing w:before="80" w:after="40" w:line="278" w:lineRule="auto"/>
      <w:outlineLvl w:val="3"/>
    </w:pPr>
    <w:rPr>
      <w:rFonts w:eastAsiaTheme="majorEastAsia" w:cstheme="majorBidi"/>
      <w:i/>
      <w:iCs/>
      <w:color w:val="0F4761" w:themeColor="accent1" w:themeShade="BF"/>
      <w:kern w:val="2"/>
      <w:sz w:val="24"/>
      <w:szCs w:val="24"/>
      <w:lang w:val="uk-UA"/>
      <w14:ligatures w14:val="standardContextual"/>
    </w:rPr>
  </w:style>
  <w:style w:type="paragraph" w:styleId="5">
    <w:name w:val="heading 5"/>
    <w:basedOn w:val="a"/>
    <w:next w:val="a"/>
    <w:link w:val="50"/>
    <w:uiPriority w:val="9"/>
    <w:semiHidden/>
    <w:unhideWhenUsed/>
    <w:qFormat/>
    <w:rsid w:val="0063492D"/>
    <w:pPr>
      <w:keepNext/>
      <w:keepLines/>
      <w:spacing w:before="80" w:after="40" w:line="278" w:lineRule="auto"/>
      <w:outlineLvl w:val="4"/>
    </w:pPr>
    <w:rPr>
      <w:rFonts w:eastAsiaTheme="majorEastAsia" w:cstheme="majorBidi"/>
      <w:color w:val="0F4761" w:themeColor="accent1" w:themeShade="BF"/>
      <w:kern w:val="2"/>
      <w:sz w:val="24"/>
      <w:szCs w:val="24"/>
      <w:lang w:val="uk-UA"/>
      <w14:ligatures w14:val="standardContextual"/>
    </w:rPr>
  </w:style>
  <w:style w:type="paragraph" w:styleId="6">
    <w:name w:val="heading 6"/>
    <w:basedOn w:val="a"/>
    <w:next w:val="a"/>
    <w:link w:val="60"/>
    <w:uiPriority w:val="9"/>
    <w:semiHidden/>
    <w:unhideWhenUsed/>
    <w:qFormat/>
    <w:rsid w:val="0063492D"/>
    <w:pPr>
      <w:keepNext/>
      <w:keepLines/>
      <w:spacing w:before="40" w:after="0" w:line="278" w:lineRule="auto"/>
      <w:outlineLvl w:val="5"/>
    </w:pPr>
    <w:rPr>
      <w:rFonts w:eastAsiaTheme="majorEastAsia" w:cstheme="majorBidi"/>
      <w:i/>
      <w:iCs/>
      <w:color w:val="595959" w:themeColor="text1" w:themeTint="A6"/>
      <w:kern w:val="2"/>
      <w:sz w:val="24"/>
      <w:szCs w:val="24"/>
      <w:lang w:val="uk-UA"/>
      <w14:ligatures w14:val="standardContextual"/>
    </w:rPr>
  </w:style>
  <w:style w:type="paragraph" w:styleId="7">
    <w:name w:val="heading 7"/>
    <w:basedOn w:val="a"/>
    <w:next w:val="a"/>
    <w:link w:val="70"/>
    <w:uiPriority w:val="9"/>
    <w:semiHidden/>
    <w:unhideWhenUsed/>
    <w:qFormat/>
    <w:rsid w:val="0063492D"/>
    <w:pPr>
      <w:keepNext/>
      <w:keepLines/>
      <w:spacing w:before="40" w:after="0" w:line="278" w:lineRule="auto"/>
      <w:outlineLvl w:val="6"/>
    </w:pPr>
    <w:rPr>
      <w:rFonts w:eastAsiaTheme="majorEastAsia" w:cstheme="majorBidi"/>
      <w:color w:val="595959" w:themeColor="text1" w:themeTint="A6"/>
      <w:kern w:val="2"/>
      <w:sz w:val="24"/>
      <w:szCs w:val="24"/>
      <w:lang w:val="uk-UA"/>
      <w14:ligatures w14:val="standardContextual"/>
    </w:rPr>
  </w:style>
  <w:style w:type="paragraph" w:styleId="8">
    <w:name w:val="heading 8"/>
    <w:basedOn w:val="a"/>
    <w:next w:val="a"/>
    <w:link w:val="80"/>
    <w:uiPriority w:val="9"/>
    <w:semiHidden/>
    <w:unhideWhenUsed/>
    <w:qFormat/>
    <w:rsid w:val="0063492D"/>
    <w:pPr>
      <w:keepNext/>
      <w:keepLines/>
      <w:spacing w:after="0" w:line="278" w:lineRule="auto"/>
      <w:outlineLvl w:val="7"/>
    </w:pPr>
    <w:rPr>
      <w:rFonts w:eastAsiaTheme="majorEastAsia" w:cstheme="majorBidi"/>
      <w:i/>
      <w:iCs/>
      <w:color w:val="272727" w:themeColor="text1" w:themeTint="D8"/>
      <w:kern w:val="2"/>
      <w:sz w:val="24"/>
      <w:szCs w:val="24"/>
      <w:lang w:val="uk-UA"/>
      <w14:ligatures w14:val="standardContextual"/>
    </w:rPr>
  </w:style>
  <w:style w:type="paragraph" w:styleId="9">
    <w:name w:val="heading 9"/>
    <w:basedOn w:val="a"/>
    <w:next w:val="a"/>
    <w:link w:val="90"/>
    <w:uiPriority w:val="9"/>
    <w:semiHidden/>
    <w:unhideWhenUsed/>
    <w:qFormat/>
    <w:rsid w:val="0063492D"/>
    <w:pPr>
      <w:keepNext/>
      <w:keepLines/>
      <w:spacing w:after="0" w:line="278" w:lineRule="auto"/>
      <w:outlineLvl w:val="8"/>
    </w:pPr>
    <w:rPr>
      <w:rFonts w:eastAsiaTheme="majorEastAsia" w:cstheme="majorBidi"/>
      <w:color w:val="272727" w:themeColor="text1" w:themeTint="D8"/>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9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49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49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49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49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49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492D"/>
    <w:rPr>
      <w:rFonts w:eastAsiaTheme="majorEastAsia" w:cstheme="majorBidi"/>
      <w:color w:val="595959" w:themeColor="text1" w:themeTint="A6"/>
    </w:rPr>
  </w:style>
  <w:style w:type="character" w:customStyle="1" w:styleId="80">
    <w:name w:val="Заголовок 8 Знак"/>
    <w:basedOn w:val="a0"/>
    <w:link w:val="8"/>
    <w:uiPriority w:val="9"/>
    <w:semiHidden/>
    <w:rsid w:val="006349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492D"/>
    <w:rPr>
      <w:rFonts w:eastAsiaTheme="majorEastAsia" w:cstheme="majorBidi"/>
      <w:color w:val="272727" w:themeColor="text1" w:themeTint="D8"/>
    </w:rPr>
  </w:style>
  <w:style w:type="paragraph" w:styleId="a3">
    <w:name w:val="Title"/>
    <w:basedOn w:val="a"/>
    <w:next w:val="a"/>
    <w:link w:val="a4"/>
    <w:uiPriority w:val="10"/>
    <w:qFormat/>
    <w:rsid w:val="0063492D"/>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634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92D"/>
    <w:pPr>
      <w:numPr>
        <w:ilvl w:val="1"/>
      </w:numPr>
      <w:spacing w:after="160" w:line="278"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6349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492D"/>
    <w:pPr>
      <w:spacing w:before="160" w:after="160" w:line="278" w:lineRule="auto"/>
      <w:jc w:val="center"/>
    </w:pPr>
    <w:rPr>
      <w:i/>
      <w:iCs/>
      <w:color w:val="404040" w:themeColor="text1" w:themeTint="BF"/>
      <w:kern w:val="2"/>
      <w:sz w:val="24"/>
      <w:szCs w:val="24"/>
      <w:lang w:val="uk-UA"/>
      <w14:ligatures w14:val="standardContextual"/>
    </w:rPr>
  </w:style>
  <w:style w:type="character" w:customStyle="1" w:styleId="a8">
    <w:name w:val="Цитата Знак"/>
    <w:basedOn w:val="a0"/>
    <w:link w:val="a7"/>
    <w:uiPriority w:val="29"/>
    <w:rsid w:val="0063492D"/>
    <w:rPr>
      <w:i/>
      <w:iCs/>
      <w:color w:val="404040" w:themeColor="text1" w:themeTint="BF"/>
    </w:rPr>
  </w:style>
  <w:style w:type="paragraph" w:styleId="a9">
    <w:name w:val="List Paragraph"/>
    <w:basedOn w:val="a"/>
    <w:uiPriority w:val="1"/>
    <w:qFormat/>
    <w:rsid w:val="0063492D"/>
    <w:pPr>
      <w:spacing w:after="160" w:line="278" w:lineRule="auto"/>
      <w:ind w:left="720"/>
      <w:contextualSpacing/>
    </w:pPr>
    <w:rPr>
      <w:kern w:val="2"/>
      <w:sz w:val="24"/>
      <w:szCs w:val="24"/>
      <w:lang w:val="uk-UA"/>
      <w14:ligatures w14:val="standardContextual"/>
    </w:rPr>
  </w:style>
  <w:style w:type="character" w:styleId="aa">
    <w:name w:val="Intense Emphasis"/>
    <w:basedOn w:val="a0"/>
    <w:uiPriority w:val="21"/>
    <w:qFormat/>
    <w:rsid w:val="0063492D"/>
    <w:rPr>
      <w:i/>
      <w:iCs/>
      <w:color w:val="0F4761" w:themeColor="accent1" w:themeShade="BF"/>
    </w:rPr>
  </w:style>
  <w:style w:type="paragraph" w:styleId="ab">
    <w:name w:val="Intense Quote"/>
    <w:basedOn w:val="a"/>
    <w:next w:val="a"/>
    <w:link w:val="ac"/>
    <w:uiPriority w:val="30"/>
    <w:qFormat/>
    <w:rsid w:val="006349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uk-UA"/>
      <w14:ligatures w14:val="standardContextual"/>
    </w:rPr>
  </w:style>
  <w:style w:type="character" w:customStyle="1" w:styleId="ac">
    <w:name w:val="Насичена цитата Знак"/>
    <w:basedOn w:val="a0"/>
    <w:link w:val="ab"/>
    <w:uiPriority w:val="30"/>
    <w:rsid w:val="0063492D"/>
    <w:rPr>
      <w:i/>
      <w:iCs/>
      <w:color w:val="0F4761" w:themeColor="accent1" w:themeShade="BF"/>
    </w:rPr>
  </w:style>
  <w:style w:type="character" w:styleId="ad">
    <w:name w:val="Intense Reference"/>
    <w:basedOn w:val="a0"/>
    <w:uiPriority w:val="32"/>
    <w:qFormat/>
    <w:rsid w:val="0063492D"/>
    <w:rPr>
      <w:b/>
      <w:bCs/>
      <w:smallCaps/>
      <w:color w:val="0F4761" w:themeColor="accent1" w:themeShade="BF"/>
      <w:spacing w:val="5"/>
    </w:rPr>
  </w:style>
  <w:style w:type="character" w:styleId="ae">
    <w:name w:val="Hyperlink"/>
    <w:basedOn w:val="a0"/>
    <w:uiPriority w:val="99"/>
    <w:unhideWhenUsed/>
    <w:rsid w:val="00921F75"/>
    <w:rPr>
      <w:color w:val="0000FF"/>
      <w:u w:val="single"/>
    </w:rPr>
  </w:style>
  <w:style w:type="paragraph" w:styleId="af">
    <w:name w:val="footer"/>
    <w:basedOn w:val="a"/>
    <w:link w:val="af0"/>
    <w:uiPriority w:val="99"/>
    <w:unhideWhenUsed/>
    <w:rsid w:val="00921F75"/>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921F75"/>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15912</Words>
  <Characters>9070</Characters>
  <Application>Microsoft Office Word</Application>
  <DocSecurity>0</DocSecurity>
  <Lines>75</Lines>
  <Paragraphs>49</Paragraphs>
  <ScaleCrop>false</ScaleCrop>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Batsura</dc:creator>
  <cp:keywords/>
  <dc:description/>
  <cp:lastModifiedBy>Valentina Batsura</cp:lastModifiedBy>
  <cp:revision>3</cp:revision>
  <dcterms:created xsi:type="dcterms:W3CDTF">2025-10-06T07:41:00Z</dcterms:created>
  <dcterms:modified xsi:type="dcterms:W3CDTF">2025-10-20T13:27:00Z</dcterms:modified>
</cp:coreProperties>
</file>