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1F7C0" w14:textId="77777777" w:rsidR="00386154" w:rsidRPr="00666401" w:rsidRDefault="00386154" w:rsidP="00386154">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666401">
        <w:rPr>
          <w:rFonts w:ascii="Times New Roman" w:eastAsia="Times New Roman" w:hAnsi="Times New Roman" w:cs="Times New Roman"/>
          <w:b/>
          <w:bCs/>
          <w:sz w:val="36"/>
          <w:szCs w:val="36"/>
          <w:lang w:val="uk-UA" w:eastAsia="ru-RU"/>
        </w:rPr>
        <w:t>Договір-оферта про надання послуг</w:t>
      </w:r>
    </w:p>
    <w:p w14:paraId="259064E2" w14:textId="77777777" w:rsidR="003C49F0" w:rsidRPr="003C49F0" w:rsidRDefault="003C49F0" w:rsidP="003C49F0">
      <w:pPr>
        <w:spacing w:before="100" w:beforeAutospacing="1" w:after="100" w:afterAutospacing="1" w:line="240" w:lineRule="auto"/>
        <w:ind w:firstLine="708"/>
        <w:jc w:val="right"/>
        <w:rPr>
          <w:rFonts w:ascii="Times New Roman" w:eastAsia="Times New Roman" w:hAnsi="Times New Roman" w:cs="Times New Roman"/>
          <w:sz w:val="24"/>
          <w:szCs w:val="24"/>
          <w:lang w:val="uk-UA" w:eastAsia="ru-RU"/>
        </w:rPr>
      </w:pPr>
      <w:r w:rsidRPr="003C49F0">
        <w:rPr>
          <w:rFonts w:ascii="Times New Roman" w:eastAsia="Times New Roman" w:hAnsi="Times New Roman" w:cs="Times New Roman"/>
          <w:sz w:val="24"/>
          <w:szCs w:val="24"/>
          <w:lang w:val="uk-UA" w:eastAsia="ru-RU"/>
        </w:rPr>
        <w:t>___.________________ 20</w:t>
      </w:r>
      <w:r w:rsidR="00454A15">
        <w:rPr>
          <w:rFonts w:ascii="Times New Roman" w:eastAsia="Times New Roman" w:hAnsi="Times New Roman" w:cs="Times New Roman"/>
          <w:sz w:val="24"/>
          <w:szCs w:val="24"/>
          <w:lang w:val="uk-UA" w:eastAsia="ru-RU"/>
        </w:rPr>
        <w:t>__</w:t>
      </w:r>
      <w:r w:rsidRPr="003C49F0">
        <w:rPr>
          <w:rFonts w:ascii="Times New Roman" w:eastAsia="Times New Roman" w:hAnsi="Times New Roman" w:cs="Times New Roman"/>
          <w:sz w:val="24"/>
          <w:szCs w:val="24"/>
          <w:lang w:val="uk-UA" w:eastAsia="ru-RU"/>
        </w:rPr>
        <w:t xml:space="preserve"> р.</w:t>
      </w:r>
    </w:p>
    <w:p w14:paraId="2F7AEBA6" w14:textId="37BAF5AA" w:rsidR="00386154" w:rsidRPr="00666401" w:rsidRDefault="00DB3B02" w:rsidP="00386154">
      <w:pPr>
        <w:spacing w:before="100" w:beforeAutospacing="1" w:after="100" w:afterAutospacing="1" w:line="240" w:lineRule="auto"/>
        <w:ind w:firstLine="708"/>
        <w:rPr>
          <w:rFonts w:ascii="Times New Roman" w:eastAsia="Times New Roman" w:hAnsi="Times New Roman" w:cs="Times New Roman"/>
          <w:sz w:val="24"/>
          <w:szCs w:val="24"/>
          <w:lang w:val="uk-UA" w:eastAsia="ru-RU"/>
        </w:rPr>
      </w:pPr>
      <w:r w:rsidRPr="00DB3B02">
        <w:rPr>
          <w:rFonts w:ascii="Times New Roman" w:eastAsia="Times New Roman" w:hAnsi="Times New Roman" w:cs="Times New Roman"/>
          <w:sz w:val="24"/>
          <w:szCs w:val="24"/>
          <w:lang w:val="uk-UA" w:eastAsia="ru-RU"/>
        </w:rPr>
        <w:t>ТОВАРИСТВО З ОБМЕЖЕНОЮ ВІДПОВІДАЛЬНІСТЮ «БІРЖА ПОДІЛЬСЬКА»</w:t>
      </w:r>
      <w:r w:rsidR="00C65D65" w:rsidRPr="00C65D65">
        <w:rPr>
          <w:rFonts w:ascii="Times New Roman" w:eastAsia="Times New Roman" w:hAnsi="Times New Roman" w:cs="Times New Roman"/>
          <w:sz w:val="24"/>
          <w:szCs w:val="24"/>
          <w:lang w:val="uk-UA" w:eastAsia="ru-RU"/>
        </w:rPr>
        <w:t>, в особі директора Бацури Олександра Степановича, що діє на підставі Статуту</w:t>
      </w:r>
      <w:r w:rsidR="000E73C9" w:rsidRPr="00666401">
        <w:rPr>
          <w:rFonts w:ascii="Times New Roman" w:eastAsia="Times New Roman" w:hAnsi="Times New Roman" w:cs="Times New Roman"/>
          <w:sz w:val="24"/>
          <w:szCs w:val="24"/>
          <w:lang w:val="uk-UA" w:eastAsia="ru-RU"/>
        </w:rPr>
        <w:t xml:space="preserve"> з однієї сторони, </w:t>
      </w:r>
      <w:r w:rsidR="000E73C9">
        <w:rPr>
          <w:rFonts w:ascii="Times New Roman" w:eastAsia="Times New Roman" w:hAnsi="Times New Roman" w:cs="Times New Roman"/>
          <w:sz w:val="24"/>
          <w:szCs w:val="24"/>
          <w:lang w:val="uk-UA" w:eastAsia="ru-RU"/>
        </w:rPr>
        <w:t xml:space="preserve">та </w:t>
      </w:r>
      <w:r w:rsidR="00386154"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 (далі - Користувач), з іншої сторони надалі разом іменовані - Сторони, уклали цей договір-оферту в розумінні ст. 634 ЦК України та ч. 4 ст. 179 ГК України (далі – Договір) про наступне:</w:t>
      </w:r>
    </w:p>
    <w:p w14:paraId="19AF05F7" w14:textId="77777777" w:rsidR="00386154" w:rsidRPr="00666401" w:rsidRDefault="00386154" w:rsidP="00386154">
      <w:pPr>
        <w:pStyle w:val="2"/>
        <w:jc w:val="both"/>
        <w:rPr>
          <w:lang w:val="uk-UA"/>
        </w:rPr>
      </w:pPr>
      <w:r w:rsidRPr="00666401">
        <w:rPr>
          <w:lang w:val="uk-UA"/>
        </w:rPr>
        <w:t>1. Загальні положення</w:t>
      </w:r>
    </w:p>
    <w:p w14:paraId="6A849338" w14:textId="2EFB1246" w:rsidR="000E73C9" w:rsidRPr="00666401" w:rsidRDefault="000E73C9" w:rsidP="000E73C9">
      <w:pPr>
        <w:pStyle w:val="zk-contentpar"/>
        <w:jc w:val="both"/>
        <w:rPr>
          <w:lang w:val="uk-UA"/>
        </w:rPr>
      </w:pPr>
      <w:r w:rsidRPr="00666401">
        <w:rPr>
          <w:lang w:val="uk-UA"/>
        </w:rPr>
        <w:t xml:space="preserve">1.1. Цей документ являє собою відкриту пропозицію (Оферту) </w:t>
      </w:r>
      <w:r w:rsidR="002C77D5">
        <w:rPr>
          <w:lang w:val="uk-UA"/>
        </w:rPr>
        <w:t>Товарна біржа «Подільська»</w:t>
      </w:r>
      <w:r w:rsidRPr="00666401">
        <w:rPr>
          <w:lang w:val="uk-UA"/>
        </w:rPr>
        <w:t xml:space="preserve"> (далі – Оператор Електронного майданчика) щодо укладення Договору про надання послуг (далі - Договір) на викладених у цій Оферті умовах. </w:t>
      </w:r>
    </w:p>
    <w:p w14:paraId="7B10B7E9" w14:textId="77777777" w:rsidR="00386154" w:rsidRPr="00666401" w:rsidRDefault="00386154" w:rsidP="00386154">
      <w:pPr>
        <w:pStyle w:val="zk-contentpar"/>
        <w:jc w:val="both"/>
        <w:rPr>
          <w:lang w:val="uk-UA"/>
        </w:rPr>
      </w:pPr>
      <w:r w:rsidRPr="00666401">
        <w:rPr>
          <w:lang w:val="uk-UA"/>
        </w:rPr>
        <w:t xml:space="preserve">1.2. Відповідно до Цивільного Кодексу України, в разі прийняття викладених в Оферті умов і оплати послуг, фізична або юридична особа, яка провадить акцепт цієї Оферти, стає Користувачем (акцепт Оферти рівнозначний укладенню Договору на умовах, викладених в Оферті) Електронного майданчика (надалі – Користувач). </w:t>
      </w:r>
    </w:p>
    <w:p w14:paraId="4B6C6D6A" w14:textId="77777777" w:rsidR="00386154" w:rsidRPr="00666401" w:rsidRDefault="00386154" w:rsidP="00386154">
      <w:pPr>
        <w:pStyle w:val="zk-contentpar"/>
        <w:jc w:val="both"/>
        <w:rPr>
          <w:lang w:val="uk-UA"/>
        </w:rPr>
      </w:pPr>
      <w:r w:rsidRPr="00666401">
        <w:rPr>
          <w:lang w:val="uk-UA"/>
        </w:rPr>
        <w:t xml:space="preserve">1.3. Відповідно до Постанови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 період тимчасовий окупації Договір не може бути укладений з суб`єктами господарювання з місцезнаходженням (місцем проживання) на тимчасово окупованій території. </w:t>
      </w:r>
    </w:p>
    <w:p w14:paraId="19AE5A72" w14:textId="77777777" w:rsidR="00386154" w:rsidRPr="00666401" w:rsidRDefault="00386154" w:rsidP="00386154">
      <w:pPr>
        <w:pStyle w:val="zk-contentpar"/>
        <w:jc w:val="both"/>
        <w:rPr>
          <w:lang w:val="uk-UA"/>
        </w:rPr>
      </w:pPr>
      <w:r w:rsidRPr="00666401">
        <w:rPr>
          <w:lang w:val="uk-UA"/>
        </w:rPr>
        <w:t xml:space="preserve">1.4. Указом Президента України від 15.05.2017 № 133/2017 введено в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(надалі – Рішення), яким тимчасово обмежено проведення визначених операції певному переліку осіб, які вміщені в Додатку 1 та Додатку 2 до Рішення. </w:t>
      </w:r>
    </w:p>
    <w:p w14:paraId="50D08036" w14:textId="77777777" w:rsidR="00386154" w:rsidRPr="00666401" w:rsidRDefault="00386154" w:rsidP="00386154">
      <w:pPr>
        <w:pStyle w:val="zk-contentpar"/>
        <w:jc w:val="both"/>
        <w:rPr>
          <w:lang w:val="uk-UA"/>
        </w:rPr>
      </w:pPr>
      <w:r w:rsidRPr="00666401">
        <w:rPr>
          <w:lang w:val="uk-UA"/>
        </w:rPr>
        <w:t xml:space="preserve">1.5. Юридична чи фізична особа, яка провадить акцепт цієї Оферти підтверджує факт, що вона не входить до переліку осіб, щодо яких існують обмеження діяльності на території України та/або про які йде мова в п. 1.2 та п. 1.3. цієї Оферти. </w:t>
      </w:r>
    </w:p>
    <w:p w14:paraId="69D36551"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2. Предмет Договору</w:t>
      </w:r>
    </w:p>
    <w:p w14:paraId="6DE2BC20" w14:textId="6932F12B"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доступу до користування електронною торговою системою, яка розміщена за адресою в мережі Інтернет: </w:t>
      </w:r>
      <w:hyperlink r:id="rId5" w:history="1">
        <w:r w:rsidR="00C65D65">
          <w:rPr>
            <w:rStyle w:val="a3"/>
          </w:rPr>
          <w:t>https://sale.birzha.km.ua/</w:t>
        </w:r>
      </w:hyperlink>
      <w:r w:rsidRPr="00666401">
        <w:rPr>
          <w:rFonts w:ascii="Times New Roman" w:eastAsia="Times New Roman" w:hAnsi="Times New Roman" w:cs="Times New Roman"/>
          <w:sz w:val="24"/>
          <w:szCs w:val="24"/>
          <w:lang w:val="uk-UA" w:eastAsia="ru-RU"/>
        </w:rPr>
        <w:t>(далі – ЕТС). Надання доступу Користувачу до ЕТС передбачає серед іншого виконання таких послуг, як послуг з реєстрації Користувача, автоматичного розміщення, отримання і передання інформації, в т.ч. але не виключно цінових пропозицій, та документів під час проведення електронних торгів (далі – Послуги), відповідно до обраних Користувачем торгів які розміщені в ЕТС. Інформація про електронні торги в ЕТС також відображаються на інтернет-сайті Електронного майданчика.</w:t>
      </w:r>
    </w:p>
    <w:p w14:paraId="2E580073" w14:textId="77777777" w:rsidR="00386154"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2.2. Користувач погоджується з умовами і зобов`яз</w:t>
      </w:r>
      <w:r w:rsidR="00F04463">
        <w:rPr>
          <w:rFonts w:ascii="Times New Roman" w:eastAsia="Times New Roman" w:hAnsi="Times New Roman" w:cs="Times New Roman"/>
          <w:sz w:val="24"/>
          <w:szCs w:val="24"/>
          <w:lang w:val="uk-UA" w:eastAsia="ru-RU"/>
        </w:rPr>
        <w:t>ується виконувати Регламент ЕТС.</w:t>
      </w:r>
      <w:r w:rsidRPr="00666401">
        <w:rPr>
          <w:rFonts w:ascii="Times New Roman" w:eastAsia="Times New Roman" w:hAnsi="Times New Roman" w:cs="Times New Roman"/>
          <w:sz w:val="24"/>
          <w:szCs w:val="24"/>
          <w:lang w:val="uk-UA" w:eastAsia="ru-RU"/>
        </w:rPr>
        <w:t xml:space="preserve"> Файли Регламенту </w:t>
      </w:r>
      <w:r w:rsidR="00F04463">
        <w:rPr>
          <w:rFonts w:ascii="Times New Roman" w:eastAsia="Times New Roman" w:hAnsi="Times New Roman" w:cs="Times New Roman"/>
          <w:sz w:val="24"/>
          <w:szCs w:val="24"/>
          <w:lang w:val="uk-UA" w:eastAsia="ru-RU"/>
        </w:rPr>
        <w:t xml:space="preserve">ЕТС </w:t>
      </w:r>
      <w:r w:rsidRPr="00666401">
        <w:rPr>
          <w:rFonts w:ascii="Times New Roman" w:eastAsia="Times New Roman" w:hAnsi="Times New Roman" w:cs="Times New Roman"/>
          <w:sz w:val="24"/>
          <w:szCs w:val="24"/>
          <w:lang w:val="uk-UA" w:eastAsia="ru-RU"/>
        </w:rPr>
        <w:t xml:space="preserve">розміщені </w:t>
      </w:r>
      <w:r w:rsidR="00F04463">
        <w:rPr>
          <w:rFonts w:ascii="Times New Roman" w:eastAsia="Times New Roman" w:hAnsi="Times New Roman" w:cs="Times New Roman"/>
          <w:sz w:val="24"/>
          <w:szCs w:val="24"/>
          <w:lang w:val="uk-UA" w:eastAsia="ru-RU"/>
        </w:rPr>
        <w:t xml:space="preserve">на електронному майданчику </w:t>
      </w:r>
      <w:r w:rsidRPr="00666401">
        <w:rPr>
          <w:rFonts w:ascii="Times New Roman" w:eastAsia="Times New Roman" w:hAnsi="Times New Roman" w:cs="Times New Roman"/>
          <w:sz w:val="24"/>
          <w:szCs w:val="24"/>
          <w:lang w:val="uk-UA" w:eastAsia="ru-RU"/>
        </w:rPr>
        <w:t>у розділі «Регламент», є невід`ємною частиною Договору і Користувач своєю реєстрацією на Електронному майданчику підтверджує свою безумовну згоду до їх дотримання.</w:t>
      </w:r>
    </w:p>
    <w:p w14:paraId="01161A1E" w14:textId="77777777" w:rsidR="00386154" w:rsidRDefault="00386154" w:rsidP="00386154">
      <w:pPr>
        <w:pStyle w:val="a5"/>
        <w:jc w:val="both"/>
        <w:rPr>
          <w:rFonts w:ascii="Times New Roman" w:hAnsi="Times New Roman"/>
          <w:sz w:val="24"/>
          <w:szCs w:val="24"/>
        </w:rPr>
      </w:pPr>
      <w:r>
        <w:rPr>
          <w:rFonts w:ascii="Times New Roman" w:hAnsi="Times New Roman"/>
          <w:b w:val="0"/>
          <w:sz w:val="24"/>
          <w:szCs w:val="24"/>
        </w:rPr>
        <w:t xml:space="preserve">2.3. Користувач </w:t>
      </w:r>
      <w:r w:rsidRPr="00A84717">
        <w:rPr>
          <w:rFonts w:ascii="Times New Roman" w:hAnsi="Times New Roman"/>
          <w:b w:val="0"/>
          <w:sz w:val="24"/>
          <w:szCs w:val="24"/>
        </w:rPr>
        <w:t xml:space="preserve">під час участі в аукціонах, шляхом проведення електронних торгів з продажу спеціальних дозволів  на користування надрами, погоджується з умовами і зобов’язується виконувати Тимчасовий порядок реалізації експериментального проекту </w:t>
      </w:r>
      <w:r>
        <w:rPr>
          <w:rFonts w:ascii="Times New Roman" w:hAnsi="Times New Roman"/>
          <w:b w:val="0"/>
          <w:sz w:val="24"/>
          <w:szCs w:val="24"/>
        </w:rPr>
        <w:t xml:space="preserve">  </w:t>
      </w:r>
      <w:r w:rsidRPr="00A84717">
        <w:rPr>
          <w:rFonts w:ascii="Times New Roman" w:hAnsi="Times New Roman"/>
          <w:b w:val="0"/>
          <w:sz w:val="24"/>
          <w:szCs w:val="24"/>
        </w:rPr>
        <w:t>із запровадження проведення аукціонів з продажу  спеціальних дозволів  на користування надрами шляхом електронних торгів</w:t>
      </w:r>
      <w:bookmarkStart w:id="0" w:name="n18"/>
      <w:bookmarkEnd w:id="0"/>
      <w:r>
        <w:rPr>
          <w:rFonts w:ascii="Times New Roman" w:hAnsi="Times New Roman"/>
          <w:b w:val="0"/>
          <w:sz w:val="24"/>
          <w:szCs w:val="24"/>
        </w:rPr>
        <w:t>, затверджений Постановою КМУ від 17.10.2018 р.</w:t>
      </w:r>
      <w:r w:rsidRPr="00D66232">
        <w:rPr>
          <w:rFonts w:ascii="Times New Roman" w:hAnsi="Times New Roman"/>
          <w:b w:val="0"/>
          <w:sz w:val="24"/>
          <w:szCs w:val="24"/>
        </w:rPr>
        <w:t xml:space="preserve"> </w:t>
      </w:r>
      <w:r>
        <w:rPr>
          <w:rFonts w:ascii="Times New Roman" w:hAnsi="Times New Roman"/>
          <w:b w:val="0"/>
          <w:sz w:val="24"/>
          <w:szCs w:val="24"/>
        </w:rPr>
        <w:t>№848</w:t>
      </w:r>
    </w:p>
    <w:p w14:paraId="47F49850"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Реєстрація Користувача на Електронному майданчику здійснюється одним із способів ідентифікації/авторизації:</w:t>
      </w:r>
    </w:p>
    <w:p w14:paraId="0D83FD5F"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Для юридичних осіб:</w:t>
      </w:r>
    </w:p>
    <w:p w14:paraId="1B9BEF52" w14:textId="77777777" w:rsidR="00386154" w:rsidRPr="00666401" w:rsidRDefault="00386154" w:rsidP="003861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через отримання банківського платежу у розмірі 9 гривень з розрахункового рахунку юридичної особи за рахунком, сформованим в Особистому кабінеті під час реєстрації, з обов’язковим зазначенням вказаних у рахунку реквізитів;</w:t>
      </w:r>
    </w:p>
    <w:p w14:paraId="4838CD0B" w14:textId="77777777" w:rsidR="00386154" w:rsidRPr="00666401" w:rsidRDefault="00386154" w:rsidP="003861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 та направлення на поштову адресу Оператора формі двох екземплярів даного Договору-оферти у паперовій формі.</w:t>
      </w:r>
    </w:p>
    <w:p w14:paraId="461EF7F0"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Для фізичних осіб:</w:t>
      </w:r>
    </w:p>
    <w:p w14:paraId="2D1A7CF8" w14:textId="77777777" w:rsidR="00386154" w:rsidRPr="00666401" w:rsidRDefault="00386154" w:rsidP="003861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для фізичних осіб, у яких є відкритий на їх ім’я рахунок в банківських установах України через отримання банківського платежу у розмірі 9 гривень з розрахункового рахунку фізичної особи на рахунок сформований в Особистому кабінету під час реєстрації з обов’язковим зазначенням вказаних у рахунку реквізитів;</w:t>
      </w:r>
    </w:p>
    <w:p w14:paraId="6C38F435" w14:textId="77777777" w:rsidR="00386154" w:rsidRPr="00666401" w:rsidRDefault="00386154" w:rsidP="003861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для фізичних осіб, у яких немає відкритого рахунку в банківських установах України – 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відповідає(ють)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5FFD8558" w14:textId="77777777" w:rsidR="00386154" w:rsidRPr="00666401" w:rsidRDefault="00386154" w:rsidP="003861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формі двох екземплярів даного Договору-оферти у паперовій формі.</w:t>
      </w:r>
    </w:p>
    <w:p w14:paraId="1BF176FC"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При реєстрації Користувача на Електронному майданчику Оператор перевіряє достовірність ідентифікаційної інформації (до такої інформації можна віднести, зокрема, для українських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w:t>
      </w:r>
      <w:r w:rsidRPr="00666401">
        <w:rPr>
          <w:rFonts w:ascii="Times New Roman" w:eastAsia="Times New Roman" w:hAnsi="Times New Roman" w:cs="Times New Roman"/>
          <w:sz w:val="24"/>
          <w:szCs w:val="24"/>
          <w:lang w:val="uk-UA" w:eastAsia="ru-RU"/>
        </w:rPr>
        <w:lastRenderedPageBreak/>
        <w:t>номер облікової картки платника податків, паспортні дані, адреси та контактна інформація), наданої користувачем, що має намір прийняти участь в електронних торгах.</w:t>
      </w:r>
    </w:p>
    <w:p w14:paraId="196E583F"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Учасниками електронних торгів, предметом яких є відступлення права вимоги за кредитними договорами та договорами забезпечення, не можуть бути особи, які є боржниками та/або поручителями за такими кредитами та/або договорами забезпечення виконанні зобов’язання. Учасник (потенційний покупець), який має намір прийняти участь у електронних торгах, предметом продажу на яких є право вимоги за кредитними договорами та договорами забезпечення, надає електронному майданчику письмове запевнення, що учасник (потенційний покупець) не є боржником та/або поручителем за відповідними кредитними договорами та/або договорами забезпечення виконання зобов`язання.</w:t>
      </w:r>
    </w:p>
    <w:p w14:paraId="393C334B"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3. Ціна Договору та умови оплати. Акцепт Оферти</w:t>
      </w:r>
    </w:p>
    <w:p w14:paraId="558885E2" w14:textId="77777777" w:rsidR="00386154"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Pr="00EA4DE5">
        <w:rPr>
          <w:rFonts w:ascii="Times New Roman" w:eastAsia="Times New Roman" w:hAnsi="Times New Roman" w:cs="Times New Roman"/>
          <w:sz w:val="24"/>
          <w:szCs w:val="24"/>
          <w:lang w:val="uk-UA" w:eastAsia="ru-RU"/>
        </w:rPr>
        <w:t>.1. Ціна Договору</w:t>
      </w:r>
      <w:r>
        <w:rPr>
          <w:rFonts w:ascii="Times New Roman" w:eastAsia="Times New Roman" w:hAnsi="Times New Roman" w:cs="Times New Roman"/>
          <w:sz w:val="24"/>
          <w:szCs w:val="24"/>
          <w:lang w:val="uk-UA" w:eastAsia="ru-RU"/>
        </w:rPr>
        <w:t>.</w:t>
      </w:r>
    </w:p>
    <w:p w14:paraId="71850D6F" w14:textId="77777777" w:rsidR="00FB5074" w:rsidRPr="00FB5074" w:rsidRDefault="00FB5074" w:rsidP="00FB50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B5074">
        <w:rPr>
          <w:rFonts w:ascii="Times New Roman" w:eastAsia="Times New Roman" w:hAnsi="Times New Roman" w:cs="Times New Roman"/>
          <w:sz w:val="24"/>
          <w:szCs w:val="24"/>
          <w:lang w:val="uk-UA" w:eastAsia="ru-RU"/>
        </w:rPr>
        <w:t>3.1.1.</w:t>
      </w:r>
      <w:r w:rsidRPr="00FB5074">
        <w:rPr>
          <w:rFonts w:ascii="Times New Roman" w:eastAsia="Times New Roman" w:hAnsi="Times New Roman" w:cs="Times New Roman"/>
          <w:sz w:val="24"/>
          <w:szCs w:val="24"/>
          <w:lang w:val="uk-UA" w:eastAsia="ru-RU"/>
        </w:rPr>
        <w:tab/>
        <w:t xml:space="preserve">Ціна Договору становить розмір грошової винагороди, плати за участь та/або реєстраційного внеску в електронних торгах які вираховуються та сплачуються відповідно до положень Регламенту ЕТС. Грошова винагорода, яка підлягає сплаті Оператору Електронного майданчика за організацію та проведення електронних торгів, утримується/сплачується відповідно до положень Регламенту ЕТС. Право вимоги грошової винагороди у Оператора виникає виключно після формування в системі Протоколу електронних торгів. До моменту формування такого  </w:t>
      </w:r>
    </w:p>
    <w:p w14:paraId="18614F77" w14:textId="77777777" w:rsidR="00FB5074" w:rsidRPr="00FB5074" w:rsidRDefault="00FB5074" w:rsidP="00FB50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B5074">
        <w:rPr>
          <w:rFonts w:ascii="Times New Roman" w:eastAsia="Times New Roman" w:hAnsi="Times New Roman" w:cs="Times New Roman"/>
          <w:sz w:val="24"/>
          <w:szCs w:val="24"/>
          <w:lang w:val="uk-UA" w:eastAsia="ru-RU"/>
        </w:rPr>
        <w:t>Протоколу в ЕТС право власності на гарантійний внесок належить Користувачу, а сам гарантійний внесок виконує виключно функцію забезпечення. Сума грошової винагороди є додатковою до суми коштів, запропонованої переможцем</w:t>
      </w:r>
      <w:r w:rsidR="001D45DE">
        <w:rPr>
          <w:rFonts w:ascii="Times New Roman" w:eastAsia="Times New Roman" w:hAnsi="Times New Roman" w:cs="Times New Roman"/>
          <w:sz w:val="24"/>
          <w:szCs w:val="24"/>
          <w:lang w:val="uk-UA" w:eastAsia="ru-RU"/>
        </w:rPr>
        <w:t xml:space="preserve"> торгів за кожен придбаний лот.</w:t>
      </w:r>
    </w:p>
    <w:p w14:paraId="683250AF" w14:textId="77777777" w:rsidR="00FB5074" w:rsidRPr="00FB5074" w:rsidRDefault="00FB5074" w:rsidP="00FB50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B5074">
        <w:rPr>
          <w:rFonts w:ascii="Times New Roman" w:eastAsia="Times New Roman" w:hAnsi="Times New Roman" w:cs="Times New Roman"/>
          <w:sz w:val="24"/>
          <w:szCs w:val="24"/>
          <w:lang w:val="uk-UA" w:eastAsia="ru-RU"/>
        </w:rPr>
        <w:t>Реєстраційний за участь в електронних торгах сплачується після завершення електронного аукціону та формування системою Протоколу електронних торгів, але не пізніше моменту укладення договору купівлі-продажу/передачі прав за лотом.</w:t>
      </w:r>
    </w:p>
    <w:p w14:paraId="6D68E05F" w14:textId="697A84CA" w:rsidR="00FB5074" w:rsidRDefault="00FB5074" w:rsidP="00FB50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B5074">
        <w:rPr>
          <w:rFonts w:ascii="Times New Roman" w:eastAsia="Times New Roman" w:hAnsi="Times New Roman" w:cs="Times New Roman"/>
          <w:sz w:val="24"/>
          <w:szCs w:val="24"/>
          <w:lang w:val="uk-UA" w:eastAsia="ru-RU"/>
        </w:rPr>
        <w:t xml:space="preserve">Актуальні тарифи, за якими визначається розмір винагороди Оператора, розміщені у розділі «Тарифи» за наступним посиланням: </w:t>
      </w:r>
      <w:hyperlink r:id="rId6" w:history="1">
        <w:r w:rsidR="00C65D65">
          <w:rPr>
            <w:rStyle w:val="a3"/>
          </w:rPr>
          <w:t>https://sale.birzha.km.ua/</w:t>
        </w:r>
      </w:hyperlink>
      <w:r w:rsidRPr="00FB5074">
        <w:rPr>
          <w:rFonts w:ascii="Times New Roman" w:eastAsia="Times New Roman" w:hAnsi="Times New Roman" w:cs="Times New Roman"/>
          <w:sz w:val="24"/>
          <w:szCs w:val="24"/>
          <w:lang w:val="uk-UA" w:eastAsia="ru-RU"/>
        </w:rPr>
        <w:t>.</w:t>
      </w:r>
    </w:p>
    <w:p w14:paraId="6B7486FC" w14:textId="77777777" w:rsidR="00386154" w:rsidRPr="00874243" w:rsidRDefault="00386154" w:rsidP="00FB5074">
      <w:pPr>
        <w:spacing w:before="100" w:beforeAutospacing="1" w:after="100" w:afterAutospacing="1" w:line="240" w:lineRule="auto"/>
        <w:jc w:val="both"/>
        <w:rPr>
          <w:rFonts w:ascii="Times New Roman" w:hAnsi="Times New Roman"/>
          <w:b/>
          <w:sz w:val="24"/>
          <w:szCs w:val="24"/>
        </w:rPr>
      </w:pPr>
      <w:r w:rsidRPr="00874243">
        <w:rPr>
          <w:rFonts w:ascii="Times New Roman" w:hAnsi="Times New Roman"/>
          <w:sz w:val="24"/>
          <w:szCs w:val="24"/>
        </w:rPr>
        <w:t xml:space="preserve">3.1.2. Ціна Договору становить розмір грошової винагороди, реєстраційного внеску в аукціонах з продажу  спеціальних дозволів  на користування надрами, які розраховуються та сплачуються відповідно до положень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 затвердженого Постановою КМУ від 17.10.2018 р. №848, яка підлягає сплаті Оператору Електронного майданчика за організацію та проведення аукціону після формування системою Протоколу аукціону, у термін/строк зазначений в Договорі про умови участі в електронних торгах (аукціонах). Право вимоги грошової винагороди у Оператора виникає виключно після формування в системі Протоколу аукціону. До моменту формування такого Протоколу в ЕТС право власності на гарантійний внесок належить Користувачу, а сам гарантійний внесок виконує виключно функцію забезпечення. Сума грошової винагороди є додатковою до суми коштів, запропонованої переможцем торгів за кожен придбаний лот. </w:t>
      </w:r>
    </w:p>
    <w:p w14:paraId="706B4FBB" w14:textId="77777777" w:rsidR="00386154" w:rsidRPr="00874243"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874243">
        <w:rPr>
          <w:rFonts w:ascii="Times New Roman" w:eastAsia="Times New Roman" w:hAnsi="Times New Roman" w:cs="Times New Roman"/>
          <w:sz w:val="24"/>
          <w:szCs w:val="24"/>
          <w:lang w:val="uk-UA" w:eastAsia="ru-RU"/>
        </w:rPr>
        <w:t xml:space="preserve">Реєстраційний за участь в аукціонах з продажу  спеціальних дозволів  на користування надрами не сплачується .3.2. У випадку, коли сума внесеного гарантійного внеску менша суми грошової винагороди за результатами проведеного аукціону, Користувач-переможець </w:t>
      </w:r>
      <w:r w:rsidRPr="00874243">
        <w:rPr>
          <w:rFonts w:ascii="Times New Roman" w:eastAsia="Times New Roman" w:hAnsi="Times New Roman" w:cs="Times New Roman"/>
          <w:sz w:val="24"/>
          <w:szCs w:val="24"/>
          <w:lang w:val="uk-UA" w:eastAsia="ru-RU"/>
        </w:rPr>
        <w:lastRenderedPageBreak/>
        <w:t>електронного аукціону зобов`язаний сплатити таку різницю на розрахунковий рахунок Оператора протягом 10 днів з моменту формування Протоколу електронних торгів та виставлення відповідного рахунку Оператором Електронного майданчика.</w:t>
      </w:r>
    </w:p>
    <w:p w14:paraId="6C0BA43C" w14:textId="576DDC9F" w:rsidR="001D45DE" w:rsidRPr="00874243" w:rsidRDefault="001D45DE" w:rsidP="001D45DE">
      <w:pPr>
        <w:pStyle w:val="a8"/>
        <w:tabs>
          <w:tab w:val="left" w:pos="500"/>
        </w:tabs>
        <w:ind w:right="-1"/>
        <w:rPr>
          <w:sz w:val="24"/>
        </w:rPr>
      </w:pPr>
      <w:r w:rsidRPr="00874243">
        <w:rPr>
          <w:sz w:val="24"/>
        </w:rPr>
        <w:t>3.</w:t>
      </w:r>
      <w:r w:rsidR="00874243">
        <w:rPr>
          <w:sz w:val="24"/>
        </w:rPr>
        <w:t>2</w:t>
      </w:r>
      <w:r w:rsidRPr="00874243">
        <w:rPr>
          <w:sz w:val="24"/>
        </w:rPr>
        <w:t>. У випадку проведення електронних торгів з оренди майна плата за участь (винагорода) становить 5% від загальної річної суми орендної</w:t>
      </w:r>
      <w:r w:rsidRPr="00874243">
        <w:rPr>
          <w:spacing w:val="-2"/>
          <w:sz w:val="24"/>
        </w:rPr>
        <w:t xml:space="preserve"> </w:t>
      </w:r>
      <w:r w:rsidRPr="00874243">
        <w:rPr>
          <w:sz w:val="24"/>
        </w:rPr>
        <w:t>плати.</w:t>
      </w:r>
    </w:p>
    <w:p w14:paraId="15A86FD6" w14:textId="77777777" w:rsidR="001D45DE" w:rsidRPr="00874243" w:rsidRDefault="001D45DE" w:rsidP="001D45DE">
      <w:pPr>
        <w:pStyle w:val="a8"/>
        <w:tabs>
          <w:tab w:val="left" w:pos="500"/>
        </w:tabs>
        <w:ind w:right="416"/>
        <w:rPr>
          <w:sz w:val="24"/>
        </w:rPr>
      </w:pPr>
    </w:p>
    <w:p w14:paraId="79D716B7" w14:textId="4CCCE663" w:rsidR="001D45DE" w:rsidRPr="00F449E8" w:rsidRDefault="001D45DE" w:rsidP="001D45DE">
      <w:pPr>
        <w:pStyle w:val="a8"/>
        <w:tabs>
          <w:tab w:val="left" w:pos="455"/>
        </w:tabs>
        <w:ind w:left="322" w:right="-1"/>
        <w:rPr>
          <w:sz w:val="24"/>
        </w:rPr>
      </w:pPr>
      <w:r w:rsidRPr="00F449E8">
        <w:rPr>
          <w:sz w:val="24"/>
        </w:rPr>
        <w:t>3.</w:t>
      </w:r>
      <w:r w:rsidR="00874243">
        <w:rPr>
          <w:sz w:val="24"/>
        </w:rPr>
        <w:t>3</w:t>
      </w:r>
      <w:r w:rsidRPr="00F449E8">
        <w:rPr>
          <w:sz w:val="24"/>
        </w:rPr>
        <w:t>.</w:t>
      </w:r>
      <w:r w:rsidRPr="00F449E8">
        <w:rPr>
          <w:spacing w:val="-17"/>
          <w:sz w:val="24"/>
        </w:rPr>
        <w:t xml:space="preserve"> У </w:t>
      </w:r>
      <w:r w:rsidRPr="00F449E8">
        <w:rPr>
          <w:sz w:val="24"/>
        </w:rPr>
        <w:t>випадку</w:t>
      </w:r>
      <w:r w:rsidRPr="00F449E8">
        <w:rPr>
          <w:spacing w:val="-17"/>
          <w:sz w:val="24"/>
        </w:rPr>
        <w:t xml:space="preserve"> </w:t>
      </w:r>
      <w:r w:rsidRPr="00F449E8">
        <w:rPr>
          <w:sz w:val="24"/>
        </w:rPr>
        <w:t>проведення</w:t>
      </w:r>
      <w:r w:rsidRPr="00F449E8">
        <w:rPr>
          <w:spacing w:val="-12"/>
          <w:sz w:val="24"/>
        </w:rPr>
        <w:t xml:space="preserve"> </w:t>
      </w:r>
      <w:r w:rsidRPr="00F449E8">
        <w:rPr>
          <w:sz w:val="24"/>
        </w:rPr>
        <w:t>електронних</w:t>
      </w:r>
      <w:r w:rsidRPr="00F449E8">
        <w:rPr>
          <w:spacing w:val="-10"/>
          <w:sz w:val="24"/>
        </w:rPr>
        <w:t xml:space="preserve"> </w:t>
      </w:r>
      <w:r w:rsidRPr="00F449E8">
        <w:rPr>
          <w:sz w:val="24"/>
        </w:rPr>
        <w:t>торгів</w:t>
      </w:r>
      <w:r w:rsidRPr="00F449E8">
        <w:rPr>
          <w:spacing w:val="-11"/>
          <w:sz w:val="24"/>
        </w:rPr>
        <w:t xml:space="preserve"> </w:t>
      </w:r>
      <w:r w:rsidRPr="00F449E8">
        <w:rPr>
          <w:sz w:val="24"/>
        </w:rPr>
        <w:t>з</w:t>
      </w:r>
      <w:r w:rsidRPr="00F449E8">
        <w:rPr>
          <w:spacing w:val="-14"/>
          <w:sz w:val="24"/>
        </w:rPr>
        <w:t xml:space="preserve"> </w:t>
      </w:r>
      <w:r w:rsidRPr="00F449E8">
        <w:rPr>
          <w:sz w:val="24"/>
        </w:rPr>
        <w:t>продажу</w:t>
      </w:r>
      <w:r w:rsidRPr="00F449E8">
        <w:rPr>
          <w:spacing w:val="-17"/>
          <w:sz w:val="24"/>
        </w:rPr>
        <w:t xml:space="preserve"> </w:t>
      </w:r>
      <w:r w:rsidRPr="00F449E8">
        <w:rPr>
          <w:sz w:val="24"/>
        </w:rPr>
        <w:t>державного та/або комунального майна, майна підприємств, установ та організацій</w:t>
      </w:r>
      <w:r w:rsidRPr="00F449E8">
        <w:rPr>
          <w:spacing w:val="-7"/>
          <w:sz w:val="24"/>
        </w:rPr>
        <w:t xml:space="preserve"> </w:t>
      </w:r>
      <w:r w:rsidRPr="00F449E8">
        <w:rPr>
          <w:sz w:val="24"/>
        </w:rPr>
        <w:t>державної</w:t>
      </w:r>
      <w:r w:rsidRPr="00F449E8">
        <w:rPr>
          <w:spacing w:val="-8"/>
          <w:sz w:val="24"/>
        </w:rPr>
        <w:t xml:space="preserve"> </w:t>
      </w:r>
      <w:r w:rsidRPr="00F449E8">
        <w:rPr>
          <w:sz w:val="24"/>
        </w:rPr>
        <w:t>та</w:t>
      </w:r>
      <w:r w:rsidRPr="00F449E8">
        <w:rPr>
          <w:spacing w:val="-9"/>
          <w:sz w:val="24"/>
        </w:rPr>
        <w:t xml:space="preserve"> </w:t>
      </w:r>
      <w:r w:rsidRPr="00F449E8">
        <w:rPr>
          <w:sz w:val="24"/>
        </w:rPr>
        <w:t>комунальної</w:t>
      </w:r>
      <w:r w:rsidRPr="00F449E8">
        <w:rPr>
          <w:spacing w:val="-7"/>
          <w:sz w:val="24"/>
        </w:rPr>
        <w:t xml:space="preserve"> </w:t>
      </w:r>
      <w:r w:rsidRPr="00F449E8">
        <w:rPr>
          <w:sz w:val="24"/>
        </w:rPr>
        <w:t>форми</w:t>
      </w:r>
      <w:r w:rsidRPr="00F449E8">
        <w:rPr>
          <w:spacing w:val="-8"/>
          <w:sz w:val="24"/>
        </w:rPr>
        <w:t xml:space="preserve"> </w:t>
      </w:r>
      <w:r w:rsidRPr="00F449E8">
        <w:rPr>
          <w:sz w:val="24"/>
        </w:rPr>
        <w:t>власності</w:t>
      </w:r>
      <w:r w:rsidRPr="00F449E8">
        <w:rPr>
          <w:spacing w:val="-7"/>
          <w:sz w:val="24"/>
        </w:rPr>
        <w:t xml:space="preserve"> </w:t>
      </w:r>
      <w:r w:rsidRPr="00F449E8">
        <w:rPr>
          <w:sz w:val="24"/>
        </w:rPr>
        <w:t>або</w:t>
      </w:r>
      <w:r w:rsidRPr="00F449E8">
        <w:rPr>
          <w:spacing w:val="-7"/>
          <w:sz w:val="24"/>
        </w:rPr>
        <w:t xml:space="preserve"> </w:t>
      </w:r>
      <w:r w:rsidRPr="00F449E8">
        <w:rPr>
          <w:sz w:val="24"/>
        </w:rPr>
        <w:t>державна</w:t>
      </w:r>
      <w:r w:rsidRPr="00F449E8">
        <w:rPr>
          <w:spacing w:val="-7"/>
          <w:sz w:val="24"/>
        </w:rPr>
        <w:t xml:space="preserve"> </w:t>
      </w:r>
      <w:r w:rsidRPr="00F449E8">
        <w:rPr>
          <w:sz w:val="24"/>
        </w:rPr>
        <w:t>чи</w:t>
      </w:r>
      <w:r w:rsidRPr="00F449E8">
        <w:rPr>
          <w:spacing w:val="-7"/>
          <w:sz w:val="24"/>
        </w:rPr>
        <w:t xml:space="preserve"> </w:t>
      </w:r>
      <w:r w:rsidRPr="00F449E8">
        <w:rPr>
          <w:sz w:val="24"/>
        </w:rPr>
        <w:t>комунальна</w:t>
      </w:r>
      <w:r w:rsidRPr="00F449E8">
        <w:rPr>
          <w:spacing w:val="-9"/>
          <w:sz w:val="24"/>
        </w:rPr>
        <w:t xml:space="preserve"> </w:t>
      </w:r>
      <w:r w:rsidRPr="00F449E8">
        <w:rPr>
          <w:sz w:val="24"/>
        </w:rPr>
        <w:t>частка у яких перевищує 50 відсотків (не розповсюджується на аукціони з продажу об’єктів малої приватизації), плата</w:t>
      </w:r>
      <w:r w:rsidRPr="00F449E8">
        <w:rPr>
          <w:spacing w:val="-11"/>
          <w:sz w:val="24"/>
        </w:rPr>
        <w:t xml:space="preserve"> </w:t>
      </w:r>
      <w:r w:rsidRPr="00F449E8">
        <w:rPr>
          <w:sz w:val="24"/>
        </w:rPr>
        <w:t>за</w:t>
      </w:r>
      <w:r w:rsidRPr="00F449E8">
        <w:rPr>
          <w:spacing w:val="-11"/>
          <w:sz w:val="24"/>
        </w:rPr>
        <w:t xml:space="preserve"> </w:t>
      </w:r>
      <w:r w:rsidRPr="00F449E8">
        <w:rPr>
          <w:sz w:val="24"/>
        </w:rPr>
        <w:t>участь (винагорода) визначається у залежності від кінцевої вартості продажу лоту за наступним алгоритмом:</w:t>
      </w:r>
    </w:p>
    <w:tbl>
      <w:tblPr>
        <w:tblStyle w:val="a4"/>
        <w:tblW w:w="9573" w:type="dxa"/>
        <w:tblInd w:w="-34" w:type="dxa"/>
        <w:tblLook w:val="04A0" w:firstRow="1" w:lastRow="0" w:firstColumn="1" w:lastColumn="0" w:noHBand="0" w:noVBand="1"/>
      </w:tblPr>
      <w:tblGrid>
        <w:gridCol w:w="2609"/>
        <w:gridCol w:w="2608"/>
        <w:gridCol w:w="4356"/>
      </w:tblGrid>
      <w:tr w:rsidR="001D45DE" w:rsidRPr="00F449E8" w14:paraId="5EA99CD1" w14:textId="77777777" w:rsidTr="001D45DE">
        <w:trPr>
          <w:trHeight w:val="332"/>
        </w:trPr>
        <w:tc>
          <w:tcPr>
            <w:tcW w:w="0" w:type="auto"/>
            <w:gridSpan w:val="2"/>
            <w:vAlign w:val="center"/>
            <w:hideMark/>
          </w:tcPr>
          <w:p w14:paraId="58DFA32E" w14:textId="77777777" w:rsidR="001D45DE" w:rsidRPr="00F449E8" w:rsidRDefault="001D45DE" w:rsidP="00AB0B07">
            <w:pPr>
              <w:jc w:val="center"/>
              <w:rPr>
                <w:rFonts w:ascii="Times New Roman" w:eastAsia="Times New Roman" w:hAnsi="Times New Roman" w:cs="Times New Roman"/>
                <w:b/>
                <w:bCs/>
                <w:sz w:val="24"/>
                <w:szCs w:val="24"/>
                <w:lang w:eastAsia="uk-UA"/>
              </w:rPr>
            </w:pPr>
            <w:r w:rsidRPr="00F449E8">
              <w:rPr>
                <w:rFonts w:ascii="Times New Roman" w:eastAsia="Times New Roman" w:hAnsi="Times New Roman" w:cs="Times New Roman"/>
                <w:b/>
                <w:bCs/>
                <w:sz w:val="24"/>
                <w:szCs w:val="24"/>
                <w:lang w:eastAsia="uk-UA"/>
              </w:rPr>
              <w:t>Ціна продажу лоту, грн.</w:t>
            </w:r>
          </w:p>
        </w:tc>
        <w:tc>
          <w:tcPr>
            <w:tcW w:w="0" w:type="auto"/>
            <w:vMerge w:val="restart"/>
            <w:vAlign w:val="center"/>
            <w:hideMark/>
          </w:tcPr>
          <w:p w14:paraId="1683F062" w14:textId="77777777" w:rsidR="001D45DE" w:rsidRPr="00F449E8" w:rsidRDefault="001D45DE" w:rsidP="00AB0B07">
            <w:pPr>
              <w:jc w:val="center"/>
              <w:rPr>
                <w:rFonts w:ascii="Times New Roman" w:eastAsia="Times New Roman" w:hAnsi="Times New Roman" w:cs="Times New Roman"/>
                <w:b/>
                <w:bCs/>
                <w:sz w:val="24"/>
                <w:szCs w:val="24"/>
                <w:lang w:eastAsia="uk-UA"/>
              </w:rPr>
            </w:pPr>
            <w:r w:rsidRPr="00F449E8">
              <w:rPr>
                <w:rFonts w:ascii="Times New Roman" w:eastAsia="Times New Roman" w:hAnsi="Times New Roman" w:cs="Times New Roman"/>
                <w:b/>
                <w:bCs/>
                <w:sz w:val="24"/>
                <w:szCs w:val="24"/>
                <w:lang w:eastAsia="uk-UA"/>
              </w:rPr>
              <w:t>% від ціни продажу</w:t>
            </w:r>
          </w:p>
        </w:tc>
      </w:tr>
      <w:tr w:rsidR="001D45DE" w:rsidRPr="00F449E8" w14:paraId="4D1FCC25" w14:textId="77777777" w:rsidTr="001D45DE">
        <w:trPr>
          <w:trHeight w:val="332"/>
        </w:trPr>
        <w:tc>
          <w:tcPr>
            <w:tcW w:w="0" w:type="auto"/>
            <w:vAlign w:val="center"/>
            <w:hideMark/>
          </w:tcPr>
          <w:p w14:paraId="2BF1E720"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від</w:t>
            </w:r>
          </w:p>
        </w:tc>
        <w:tc>
          <w:tcPr>
            <w:tcW w:w="0" w:type="auto"/>
            <w:vAlign w:val="center"/>
            <w:hideMark/>
          </w:tcPr>
          <w:p w14:paraId="7A3C915C"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до</w:t>
            </w:r>
          </w:p>
        </w:tc>
        <w:tc>
          <w:tcPr>
            <w:tcW w:w="0" w:type="auto"/>
            <w:vMerge/>
            <w:vAlign w:val="center"/>
            <w:hideMark/>
          </w:tcPr>
          <w:p w14:paraId="00A1755B" w14:textId="77777777" w:rsidR="001D45DE" w:rsidRPr="00F449E8" w:rsidRDefault="001D45DE" w:rsidP="00AB0B07">
            <w:pPr>
              <w:jc w:val="center"/>
              <w:rPr>
                <w:rFonts w:ascii="Times New Roman" w:eastAsia="Times New Roman" w:hAnsi="Times New Roman" w:cs="Times New Roman"/>
                <w:b/>
                <w:bCs/>
                <w:sz w:val="24"/>
                <w:szCs w:val="24"/>
                <w:lang w:eastAsia="uk-UA"/>
              </w:rPr>
            </w:pPr>
          </w:p>
        </w:tc>
      </w:tr>
      <w:tr w:rsidR="001D45DE" w:rsidRPr="00F449E8" w14:paraId="6D40CDBA" w14:textId="77777777" w:rsidTr="001D45DE">
        <w:trPr>
          <w:trHeight w:val="332"/>
        </w:trPr>
        <w:tc>
          <w:tcPr>
            <w:tcW w:w="0" w:type="auto"/>
            <w:vAlign w:val="center"/>
            <w:hideMark/>
          </w:tcPr>
          <w:p w14:paraId="57E78819"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w:t>
            </w:r>
          </w:p>
        </w:tc>
        <w:tc>
          <w:tcPr>
            <w:tcW w:w="0" w:type="auto"/>
            <w:vAlign w:val="center"/>
            <w:hideMark/>
          </w:tcPr>
          <w:p w14:paraId="685D1885"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4 000 000</w:t>
            </w:r>
          </w:p>
        </w:tc>
        <w:tc>
          <w:tcPr>
            <w:tcW w:w="0" w:type="auto"/>
            <w:vAlign w:val="center"/>
            <w:hideMark/>
          </w:tcPr>
          <w:p w14:paraId="5682A6AB" w14:textId="32754952"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4</w:t>
            </w:r>
          </w:p>
        </w:tc>
      </w:tr>
      <w:tr w:rsidR="001D45DE" w:rsidRPr="00F449E8" w14:paraId="5912B9D6" w14:textId="77777777" w:rsidTr="001D45DE">
        <w:trPr>
          <w:trHeight w:val="332"/>
        </w:trPr>
        <w:tc>
          <w:tcPr>
            <w:tcW w:w="0" w:type="auto"/>
            <w:vAlign w:val="center"/>
            <w:hideMark/>
          </w:tcPr>
          <w:p w14:paraId="6A215014"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4 000 000</w:t>
            </w:r>
          </w:p>
        </w:tc>
        <w:tc>
          <w:tcPr>
            <w:tcW w:w="0" w:type="auto"/>
            <w:vAlign w:val="center"/>
            <w:hideMark/>
          </w:tcPr>
          <w:p w14:paraId="1B0A04AE"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64 000 000</w:t>
            </w:r>
          </w:p>
        </w:tc>
        <w:tc>
          <w:tcPr>
            <w:tcW w:w="0" w:type="auto"/>
            <w:vAlign w:val="center"/>
            <w:hideMark/>
          </w:tcPr>
          <w:p w14:paraId="6A6252E3" w14:textId="3015035F" w:rsidR="001D45DE" w:rsidRPr="00F449E8" w:rsidRDefault="00F449E8" w:rsidP="00AB0B07">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2,5</w:t>
            </w:r>
          </w:p>
        </w:tc>
      </w:tr>
      <w:tr w:rsidR="001D45DE" w:rsidRPr="00E32161" w14:paraId="6A0BF4DF" w14:textId="77777777" w:rsidTr="001D45DE">
        <w:trPr>
          <w:trHeight w:val="332"/>
        </w:trPr>
        <w:tc>
          <w:tcPr>
            <w:tcW w:w="0" w:type="auto"/>
            <w:vAlign w:val="center"/>
            <w:hideMark/>
          </w:tcPr>
          <w:p w14:paraId="3E702BBF"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64 000 000</w:t>
            </w:r>
          </w:p>
        </w:tc>
        <w:tc>
          <w:tcPr>
            <w:tcW w:w="0" w:type="auto"/>
            <w:vAlign w:val="center"/>
            <w:hideMark/>
          </w:tcPr>
          <w:p w14:paraId="704B1287" w14:textId="77777777"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w:t>
            </w:r>
          </w:p>
        </w:tc>
        <w:tc>
          <w:tcPr>
            <w:tcW w:w="0" w:type="auto"/>
            <w:vAlign w:val="center"/>
            <w:hideMark/>
          </w:tcPr>
          <w:p w14:paraId="0B12C493" w14:textId="7A1105AF" w:rsidR="001D45DE" w:rsidRPr="00F449E8" w:rsidRDefault="001D45DE" w:rsidP="00AB0B07">
            <w:pPr>
              <w:jc w:val="center"/>
              <w:rPr>
                <w:rFonts w:ascii="Times New Roman" w:eastAsia="Times New Roman" w:hAnsi="Times New Roman" w:cs="Times New Roman"/>
                <w:sz w:val="24"/>
                <w:szCs w:val="24"/>
                <w:lang w:eastAsia="uk-UA"/>
              </w:rPr>
            </w:pPr>
            <w:r w:rsidRPr="00F449E8">
              <w:rPr>
                <w:rFonts w:ascii="Times New Roman" w:eastAsia="Times New Roman" w:hAnsi="Times New Roman" w:cs="Times New Roman"/>
                <w:sz w:val="24"/>
                <w:szCs w:val="24"/>
                <w:lang w:eastAsia="uk-UA"/>
              </w:rPr>
              <w:t>1</w:t>
            </w:r>
          </w:p>
        </w:tc>
      </w:tr>
    </w:tbl>
    <w:p w14:paraId="67BDF510" w14:textId="77777777" w:rsidR="001D45DE" w:rsidRPr="00F449E8" w:rsidRDefault="001D45DE" w:rsidP="001D45DE">
      <w:pPr>
        <w:tabs>
          <w:tab w:val="left" w:pos="817"/>
          <w:tab w:val="left" w:pos="8931"/>
        </w:tabs>
        <w:ind w:left="284" w:firstLine="426"/>
        <w:jc w:val="both"/>
        <w:rPr>
          <w:rFonts w:ascii="Times New Roman" w:hAnsi="Times New Roman" w:cs="Times New Roman"/>
          <w:sz w:val="24"/>
        </w:rPr>
      </w:pPr>
      <w:r w:rsidRPr="00F449E8">
        <w:rPr>
          <w:rFonts w:ascii="Times New Roman" w:hAnsi="Times New Roman" w:cs="Times New Roman"/>
          <w:sz w:val="24"/>
        </w:rPr>
        <w:t>За участь у електронних торгах з продажу об’єктів державного та/або комунального майна, майна підприємств, установ та організацій державної та комунальної форми власності</w:t>
      </w:r>
      <w:r w:rsidRPr="00F449E8">
        <w:rPr>
          <w:rFonts w:ascii="Times New Roman" w:hAnsi="Times New Roman" w:cs="Times New Roman"/>
          <w:spacing w:val="-17"/>
          <w:sz w:val="24"/>
        </w:rPr>
        <w:t xml:space="preserve"> </w:t>
      </w:r>
      <w:r w:rsidRPr="00F449E8">
        <w:rPr>
          <w:rFonts w:ascii="Times New Roman" w:hAnsi="Times New Roman" w:cs="Times New Roman"/>
          <w:sz w:val="24"/>
        </w:rPr>
        <w:t>або</w:t>
      </w:r>
      <w:r w:rsidRPr="00F449E8">
        <w:rPr>
          <w:rFonts w:ascii="Times New Roman" w:hAnsi="Times New Roman" w:cs="Times New Roman"/>
          <w:spacing w:val="-18"/>
          <w:sz w:val="24"/>
        </w:rPr>
        <w:t xml:space="preserve"> </w:t>
      </w:r>
      <w:r w:rsidRPr="00F449E8">
        <w:rPr>
          <w:rFonts w:ascii="Times New Roman" w:hAnsi="Times New Roman" w:cs="Times New Roman"/>
          <w:sz w:val="24"/>
        </w:rPr>
        <w:t>державна</w:t>
      </w:r>
      <w:r w:rsidRPr="00F449E8">
        <w:rPr>
          <w:rFonts w:ascii="Times New Roman" w:hAnsi="Times New Roman" w:cs="Times New Roman"/>
          <w:spacing w:val="-15"/>
          <w:sz w:val="24"/>
        </w:rPr>
        <w:t xml:space="preserve"> </w:t>
      </w:r>
      <w:r w:rsidRPr="00F449E8">
        <w:rPr>
          <w:rFonts w:ascii="Times New Roman" w:hAnsi="Times New Roman" w:cs="Times New Roman"/>
          <w:sz w:val="24"/>
        </w:rPr>
        <w:t>чи</w:t>
      </w:r>
      <w:r w:rsidRPr="00F449E8">
        <w:rPr>
          <w:rFonts w:ascii="Times New Roman" w:hAnsi="Times New Roman" w:cs="Times New Roman"/>
          <w:spacing w:val="-17"/>
          <w:sz w:val="24"/>
        </w:rPr>
        <w:t xml:space="preserve"> </w:t>
      </w:r>
      <w:r w:rsidRPr="00F449E8">
        <w:rPr>
          <w:rFonts w:ascii="Times New Roman" w:hAnsi="Times New Roman" w:cs="Times New Roman"/>
          <w:sz w:val="24"/>
        </w:rPr>
        <w:t>комунальна</w:t>
      </w:r>
      <w:r w:rsidRPr="00F449E8">
        <w:rPr>
          <w:rFonts w:ascii="Times New Roman" w:hAnsi="Times New Roman" w:cs="Times New Roman"/>
          <w:spacing w:val="-18"/>
          <w:sz w:val="24"/>
        </w:rPr>
        <w:t xml:space="preserve"> </w:t>
      </w:r>
      <w:r w:rsidRPr="00F449E8">
        <w:rPr>
          <w:rFonts w:ascii="Times New Roman" w:hAnsi="Times New Roman" w:cs="Times New Roman"/>
          <w:sz w:val="24"/>
        </w:rPr>
        <w:t>частка</w:t>
      </w:r>
      <w:r w:rsidRPr="00F449E8">
        <w:rPr>
          <w:rFonts w:ascii="Times New Roman" w:hAnsi="Times New Roman" w:cs="Times New Roman"/>
          <w:spacing w:val="-14"/>
          <w:sz w:val="24"/>
        </w:rPr>
        <w:t xml:space="preserve"> </w:t>
      </w:r>
      <w:r w:rsidRPr="00F449E8">
        <w:rPr>
          <w:rFonts w:ascii="Times New Roman" w:hAnsi="Times New Roman" w:cs="Times New Roman"/>
          <w:sz w:val="24"/>
        </w:rPr>
        <w:t>у</w:t>
      </w:r>
      <w:r w:rsidRPr="00F449E8">
        <w:rPr>
          <w:rFonts w:ascii="Times New Roman" w:hAnsi="Times New Roman" w:cs="Times New Roman"/>
          <w:spacing w:val="-20"/>
          <w:sz w:val="24"/>
        </w:rPr>
        <w:t xml:space="preserve"> </w:t>
      </w:r>
      <w:r w:rsidRPr="00F449E8">
        <w:rPr>
          <w:rFonts w:ascii="Times New Roman" w:hAnsi="Times New Roman" w:cs="Times New Roman"/>
          <w:sz w:val="24"/>
        </w:rPr>
        <w:t>яких</w:t>
      </w:r>
      <w:r w:rsidRPr="00F449E8">
        <w:rPr>
          <w:rFonts w:ascii="Times New Roman" w:hAnsi="Times New Roman" w:cs="Times New Roman"/>
          <w:spacing w:val="-15"/>
          <w:sz w:val="24"/>
        </w:rPr>
        <w:t xml:space="preserve"> </w:t>
      </w:r>
      <w:r w:rsidRPr="00F449E8">
        <w:rPr>
          <w:rFonts w:ascii="Times New Roman" w:hAnsi="Times New Roman" w:cs="Times New Roman"/>
          <w:sz w:val="24"/>
        </w:rPr>
        <w:t>перевищує</w:t>
      </w:r>
      <w:r w:rsidRPr="00F449E8">
        <w:rPr>
          <w:rFonts w:ascii="Times New Roman" w:hAnsi="Times New Roman" w:cs="Times New Roman"/>
          <w:spacing w:val="-18"/>
          <w:sz w:val="24"/>
        </w:rPr>
        <w:t xml:space="preserve"> </w:t>
      </w:r>
      <w:r w:rsidRPr="00F449E8">
        <w:rPr>
          <w:rFonts w:ascii="Times New Roman" w:hAnsi="Times New Roman" w:cs="Times New Roman"/>
          <w:sz w:val="24"/>
        </w:rPr>
        <w:t>50</w:t>
      </w:r>
      <w:r w:rsidRPr="00F449E8">
        <w:rPr>
          <w:rFonts w:ascii="Times New Roman" w:hAnsi="Times New Roman" w:cs="Times New Roman"/>
          <w:spacing w:val="-16"/>
          <w:sz w:val="24"/>
        </w:rPr>
        <w:t xml:space="preserve"> </w:t>
      </w:r>
      <w:r w:rsidRPr="00F449E8">
        <w:rPr>
          <w:rFonts w:ascii="Times New Roman" w:hAnsi="Times New Roman" w:cs="Times New Roman"/>
          <w:sz w:val="24"/>
        </w:rPr>
        <w:t>відсотків</w:t>
      </w:r>
      <w:r w:rsidRPr="00F449E8">
        <w:rPr>
          <w:rFonts w:ascii="Times New Roman" w:hAnsi="Times New Roman" w:cs="Times New Roman"/>
          <w:spacing w:val="-11"/>
          <w:sz w:val="24"/>
        </w:rPr>
        <w:t xml:space="preserve"> </w:t>
      </w:r>
      <w:r w:rsidRPr="00F449E8">
        <w:rPr>
          <w:rFonts w:ascii="Times New Roman" w:hAnsi="Times New Roman" w:cs="Times New Roman"/>
          <w:sz w:val="24"/>
        </w:rPr>
        <w:t>по</w:t>
      </w:r>
      <w:r w:rsidRPr="00F449E8">
        <w:rPr>
          <w:rFonts w:ascii="Times New Roman" w:hAnsi="Times New Roman" w:cs="Times New Roman"/>
          <w:spacing w:val="-17"/>
          <w:sz w:val="24"/>
        </w:rPr>
        <w:t xml:space="preserve"> </w:t>
      </w:r>
      <w:r w:rsidRPr="00F449E8">
        <w:rPr>
          <w:rFonts w:ascii="Times New Roman" w:hAnsi="Times New Roman" w:cs="Times New Roman"/>
          <w:sz w:val="24"/>
        </w:rPr>
        <w:t>завершенню електронного аукціону з учасників справляється реєстраційний внесок у наступному розмірі:</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3"/>
        <w:gridCol w:w="4663"/>
      </w:tblGrid>
      <w:tr w:rsidR="001D45DE" w:rsidRPr="00F449E8" w14:paraId="167538BA" w14:textId="77777777" w:rsidTr="001D45DE">
        <w:trPr>
          <w:trHeight w:val="552"/>
        </w:trPr>
        <w:tc>
          <w:tcPr>
            <w:tcW w:w="4683" w:type="dxa"/>
          </w:tcPr>
          <w:p w14:paraId="3254BE38" w14:textId="77777777" w:rsidR="001D45DE" w:rsidRPr="00F449E8" w:rsidRDefault="001D45DE" w:rsidP="00AB0B07">
            <w:pPr>
              <w:pStyle w:val="TableParagraph"/>
              <w:spacing w:line="268" w:lineRule="exact"/>
              <w:ind w:left="164" w:right="157"/>
              <w:rPr>
                <w:sz w:val="24"/>
              </w:rPr>
            </w:pPr>
            <w:r w:rsidRPr="00F449E8">
              <w:rPr>
                <w:sz w:val="24"/>
              </w:rPr>
              <w:t>Стартова ціна реалізації/стартова орендна</w:t>
            </w:r>
          </w:p>
          <w:p w14:paraId="781228E8" w14:textId="77777777" w:rsidR="001D45DE" w:rsidRPr="00F449E8" w:rsidRDefault="001D45DE" w:rsidP="00AB0B07">
            <w:pPr>
              <w:pStyle w:val="TableParagraph"/>
              <w:spacing w:line="264" w:lineRule="exact"/>
              <w:ind w:left="162" w:right="157"/>
              <w:rPr>
                <w:sz w:val="24"/>
              </w:rPr>
            </w:pPr>
            <w:r w:rsidRPr="00F449E8">
              <w:rPr>
                <w:sz w:val="24"/>
              </w:rPr>
              <w:t>плата, грн.</w:t>
            </w:r>
          </w:p>
        </w:tc>
        <w:tc>
          <w:tcPr>
            <w:tcW w:w="4663" w:type="dxa"/>
          </w:tcPr>
          <w:p w14:paraId="6BB83FD1" w14:textId="77777777" w:rsidR="001D45DE" w:rsidRPr="00F449E8" w:rsidRDefault="001D45DE" w:rsidP="00AB0B07">
            <w:pPr>
              <w:pStyle w:val="TableParagraph"/>
              <w:spacing w:before="129"/>
              <w:ind w:left="923" w:right="920"/>
              <w:rPr>
                <w:sz w:val="24"/>
              </w:rPr>
            </w:pPr>
            <w:r w:rsidRPr="00F449E8">
              <w:rPr>
                <w:sz w:val="24"/>
              </w:rPr>
              <w:t>Реєстраційний внесок, грн.</w:t>
            </w:r>
          </w:p>
        </w:tc>
      </w:tr>
      <w:tr w:rsidR="001D45DE" w:rsidRPr="00F449E8" w14:paraId="3AC180DE" w14:textId="77777777" w:rsidTr="001D45DE">
        <w:trPr>
          <w:trHeight w:val="275"/>
        </w:trPr>
        <w:tc>
          <w:tcPr>
            <w:tcW w:w="4683" w:type="dxa"/>
          </w:tcPr>
          <w:p w14:paraId="2A0DFE87" w14:textId="77777777" w:rsidR="001D45DE" w:rsidRPr="00F449E8" w:rsidRDefault="001D45DE" w:rsidP="00AB0B07">
            <w:pPr>
              <w:pStyle w:val="TableParagraph"/>
              <w:spacing w:line="256" w:lineRule="exact"/>
              <w:ind w:left="164" w:right="157"/>
              <w:rPr>
                <w:sz w:val="24"/>
              </w:rPr>
            </w:pPr>
            <w:r w:rsidRPr="00F449E8">
              <w:rPr>
                <w:sz w:val="24"/>
              </w:rPr>
              <w:t>До 20 000</w:t>
            </w:r>
          </w:p>
        </w:tc>
        <w:tc>
          <w:tcPr>
            <w:tcW w:w="4663" w:type="dxa"/>
          </w:tcPr>
          <w:p w14:paraId="75EA5B67" w14:textId="77777777" w:rsidR="001D45DE" w:rsidRPr="00F449E8" w:rsidRDefault="001D45DE" w:rsidP="00AB0B07">
            <w:pPr>
              <w:pStyle w:val="TableParagraph"/>
              <w:spacing w:line="256" w:lineRule="exact"/>
              <w:ind w:left="923" w:right="920"/>
              <w:rPr>
                <w:sz w:val="24"/>
              </w:rPr>
            </w:pPr>
            <w:r w:rsidRPr="00F449E8">
              <w:rPr>
                <w:sz w:val="24"/>
              </w:rPr>
              <w:t>17</w:t>
            </w:r>
          </w:p>
        </w:tc>
      </w:tr>
      <w:tr w:rsidR="001D45DE" w:rsidRPr="00F449E8" w14:paraId="4925BCAE" w14:textId="77777777" w:rsidTr="001D45DE">
        <w:trPr>
          <w:trHeight w:val="275"/>
        </w:trPr>
        <w:tc>
          <w:tcPr>
            <w:tcW w:w="4683" w:type="dxa"/>
          </w:tcPr>
          <w:p w14:paraId="2C79A7A1" w14:textId="77777777" w:rsidR="001D45DE" w:rsidRPr="00F449E8" w:rsidRDefault="001D45DE" w:rsidP="00AB0B07">
            <w:pPr>
              <w:pStyle w:val="TableParagraph"/>
              <w:spacing w:line="256" w:lineRule="exact"/>
              <w:ind w:left="163" w:right="157"/>
              <w:rPr>
                <w:sz w:val="24"/>
              </w:rPr>
            </w:pPr>
            <w:r w:rsidRPr="00F449E8">
              <w:rPr>
                <w:sz w:val="24"/>
              </w:rPr>
              <w:t>До 50 000</w:t>
            </w:r>
          </w:p>
        </w:tc>
        <w:tc>
          <w:tcPr>
            <w:tcW w:w="4663" w:type="dxa"/>
          </w:tcPr>
          <w:p w14:paraId="5220A34E" w14:textId="77777777" w:rsidR="001D45DE" w:rsidRPr="00F449E8" w:rsidRDefault="001D45DE" w:rsidP="00AB0B07">
            <w:pPr>
              <w:pStyle w:val="TableParagraph"/>
              <w:spacing w:line="256" w:lineRule="exact"/>
              <w:ind w:left="923" w:right="920"/>
              <w:rPr>
                <w:sz w:val="24"/>
              </w:rPr>
            </w:pPr>
            <w:r w:rsidRPr="00F449E8">
              <w:rPr>
                <w:sz w:val="24"/>
              </w:rPr>
              <w:t>119</w:t>
            </w:r>
          </w:p>
        </w:tc>
      </w:tr>
      <w:tr w:rsidR="001D45DE" w:rsidRPr="00F449E8" w14:paraId="51095D50" w14:textId="77777777" w:rsidTr="001D45DE">
        <w:trPr>
          <w:trHeight w:val="275"/>
        </w:trPr>
        <w:tc>
          <w:tcPr>
            <w:tcW w:w="4683" w:type="dxa"/>
          </w:tcPr>
          <w:p w14:paraId="47C434C7" w14:textId="77777777" w:rsidR="001D45DE" w:rsidRPr="00F449E8" w:rsidRDefault="001D45DE" w:rsidP="00AB0B07">
            <w:pPr>
              <w:pStyle w:val="TableParagraph"/>
              <w:spacing w:line="256" w:lineRule="exact"/>
              <w:ind w:left="163" w:right="157"/>
              <w:rPr>
                <w:sz w:val="24"/>
              </w:rPr>
            </w:pPr>
            <w:r w:rsidRPr="00F449E8">
              <w:rPr>
                <w:sz w:val="24"/>
              </w:rPr>
              <w:t>До 200 000</w:t>
            </w:r>
          </w:p>
        </w:tc>
        <w:tc>
          <w:tcPr>
            <w:tcW w:w="4663" w:type="dxa"/>
          </w:tcPr>
          <w:p w14:paraId="4D29A0C4" w14:textId="77777777" w:rsidR="001D45DE" w:rsidRPr="00F449E8" w:rsidRDefault="001D45DE" w:rsidP="00AB0B07">
            <w:pPr>
              <w:pStyle w:val="TableParagraph"/>
              <w:spacing w:line="256" w:lineRule="exact"/>
              <w:ind w:left="923" w:right="920"/>
              <w:rPr>
                <w:sz w:val="24"/>
              </w:rPr>
            </w:pPr>
            <w:r w:rsidRPr="00F449E8">
              <w:rPr>
                <w:sz w:val="24"/>
              </w:rPr>
              <w:t>340</w:t>
            </w:r>
          </w:p>
        </w:tc>
      </w:tr>
      <w:tr w:rsidR="001D45DE" w:rsidRPr="00F449E8" w14:paraId="5CFB6C85" w14:textId="77777777" w:rsidTr="001D45DE">
        <w:trPr>
          <w:trHeight w:val="277"/>
        </w:trPr>
        <w:tc>
          <w:tcPr>
            <w:tcW w:w="4683" w:type="dxa"/>
          </w:tcPr>
          <w:p w14:paraId="6F4DA54B" w14:textId="77777777" w:rsidR="001D45DE" w:rsidRPr="00F449E8" w:rsidRDefault="001D45DE" w:rsidP="00AB0B07">
            <w:pPr>
              <w:pStyle w:val="TableParagraph"/>
              <w:spacing w:line="258" w:lineRule="exact"/>
              <w:ind w:left="161" w:right="157"/>
              <w:rPr>
                <w:sz w:val="24"/>
              </w:rPr>
            </w:pPr>
            <w:r w:rsidRPr="00F449E8">
              <w:rPr>
                <w:sz w:val="24"/>
              </w:rPr>
              <w:t>До 1 000 000</w:t>
            </w:r>
          </w:p>
        </w:tc>
        <w:tc>
          <w:tcPr>
            <w:tcW w:w="4663" w:type="dxa"/>
          </w:tcPr>
          <w:p w14:paraId="10CB2948" w14:textId="77777777" w:rsidR="001D45DE" w:rsidRPr="00F449E8" w:rsidRDefault="001D45DE" w:rsidP="00AB0B07">
            <w:pPr>
              <w:pStyle w:val="TableParagraph"/>
              <w:spacing w:line="258" w:lineRule="exact"/>
              <w:ind w:left="923" w:right="920"/>
              <w:rPr>
                <w:sz w:val="24"/>
              </w:rPr>
            </w:pPr>
            <w:r w:rsidRPr="00F449E8">
              <w:rPr>
                <w:sz w:val="24"/>
              </w:rPr>
              <w:t>510</w:t>
            </w:r>
          </w:p>
        </w:tc>
      </w:tr>
      <w:tr w:rsidR="001D45DE" w:rsidRPr="00E32161" w14:paraId="23041388" w14:textId="77777777" w:rsidTr="001D45DE">
        <w:trPr>
          <w:trHeight w:val="275"/>
        </w:trPr>
        <w:tc>
          <w:tcPr>
            <w:tcW w:w="4683" w:type="dxa"/>
          </w:tcPr>
          <w:p w14:paraId="347F2174" w14:textId="77777777" w:rsidR="001D45DE" w:rsidRPr="00F449E8" w:rsidRDefault="001D45DE" w:rsidP="00AB0B07">
            <w:pPr>
              <w:pStyle w:val="TableParagraph"/>
              <w:spacing w:line="256" w:lineRule="exact"/>
              <w:ind w:left="164" w:right="157"/>
              <w:rPr>
                <w:sz w:val="24"/>
              </w:rPr>
            </w:pPr>
            <w:r w:rsidRPr="00F449E8">
              <w:rPr>
                <w:sz w:val="24"/>
              </w:rPr>
              <w:t>Понад 1 000 000</w:t>
            </w:r>
          </w:p>
        </w:tc>
        <w:tc>
          <w:tcPr>
            <w:tcW w:w="4663" w:type="dxa"/>
          </w:tcPr>
          <w:p w14:paraId="0C3331A4" w14:textId="77777777" w:rsidR="001D45DE" w:rsidRPr="00F449E8" w:rsidRDefault="001D45DE" w:rsidP="00AB0B07">
            <w:pPr>
              <w:pStyle w:val="TableParagraph"/>
              <w:spacing w:line="256" w:lineRule="exact"/>
              <w:ind w:left="923" w:right="918"/>
              <w:rPr>
                <w:sz w:val="24"/>
              </w:rPr>
            </w:pPr>
            <w:r w:rsidRPr="00F449E8">
              <w:rPr>
                <w:sz w:val="24"/>
              </w:rPr>
              <w:t>1 700</w:t>
            </w:r>
          </w:p>
        </w:tc>
      </w:tr>
    </w:tbl>
    <w:p w14:paraId="6E6E0FA9" w14:textId="77777777" w:rsidR="001D45DE" w:rsidRPr="00E32161" w:rsidRDefault="001D45DE" w:rsidP="001D45DE">
      <w:pPr>
        <w:pStyle w:val="a6"/>
        <w:spacing w:before="8"/>
        <w:rPr>
          <w:sz w:val="23"/>
          <w:highlight w:val="yellow"/>
        </w:rPr>
      </w:pPr>
    </w:p>
    <w:p w14:paraId="0F5BBCA2" w14:textId="77777777" w:rsidR="001D45DE" w:rsidRPr="00F449E8" w:rsidRDefault="001D45DE" w:rsidP="001D45DE">
      <w:pPr>
        <w:pStyle w:val="a6"/>
        <w:ind w:left="262"/>
        <w:jc w:val="both"/>
      </w:pPr>
      <w:r w:rsidRPr="00F449E8">
        <w:t>Фактичний розмір реєстраційного внеску зазначається у протоколі електронних торгів. Учасник від свого імені за сформованим у системі рахунком здійснює оплату реєстраційного</w:t>
      </w:r>
      <w:r w:rsidRPr="00F449E8">
        <w:rPr>
          <w:spacing w:val="-17"/>
        </w:rPr>
        <w:t xml:space="preserve"> </w:t>
      </w:r>
      <w:r w:rsidRPr="00F449E8">
        <w:t>внеску</w:t>
      </w:r>
      <w:r w:rsidRPr="00F449E8">
        <w:rPr>
          <w:spacing w:val="-21"/>
        </w:rPr>
        <w:t xml:space="preserve"> </w:t>
      </w:r>
      <w:r w:rsidRPr="00F449E8">
        <w:t>за</w:t>
      </w:r>
      <w:r w:rsidRPr="00F449E8">
        <w:rPr>
          <w:spacing w:val="-15"/>
        </w:rPr>
        <w:t xml:space="preserve"> </w:t>
      </w:r>
      <w:r w:rsidRPr="00F449E8">
        <w:t>участь</w:t>
      </w:r>
      <w:r w:rsidRPr="00F449E8">
        <w:rPr>
          <w:spacing w:val="-14"/>
        </w:rPr>
        <w:t xml:space="preserve"> </w:t>
      </w:r>
      <w:r w:rsidRPr="00F449E8">
        <w:t>в</w:t>
      </w:r>
      <w:r w:rsidRPr="00F449E8">
        <w:rPr>
          <w:spacing w:val="-17"/>
        </w:rPr>
        <w:t xml:space="preserve"> </w:t>
      </w:r>
      <w:r w:rsidRPr="00F449E8">
        <w:t>аукціоні</w:t>
      </w:r>
      <w:r w:rsidRPr="00F449E8">
        <w:rPr>
          <w:spacing w:val="-15"/>
        </w:rPr>
        <w:t xml:space="preserve"> </w:t>
      </w:r>
      <w:r w:rsidRPr="00F449E8">
        <w:t>після</w:t>
      </w:r>
      <w:r w:rsidRPr="00F449E8">
        <w:rPr>
          <w:spacing w:val="-17"/>
        </w:rPr>
        <w:t xml:space="preserve"> </w:t>
      </w:r>
      <w:r w:rsidRPr="00F449E8">
        <w:t>завершення</w:t>
      </w:r>
      <w:r w:rsidRPr="00F449E8">
        <w:rPr>
          <w:spacing w:val="-16"/>
        </w:rPr>
        <w:t xml:space="preserve"> </w:t>
      </w:r>
      <w:r w:rsidRPr="00F449E8">
        <w:t>електронного</w:t>
      </w:r>
      <w:r w:rsidRPr="00F449E8">
        <w:rPr>
          <w:spacing w:val="-16"/>
        </w:rPr>
        <w:t xml:space="preserve"> </w:t>
      </w:r>
      <w:r w:rsidRPr="00F449E8">
        <w:t>аукціону</w:t>
      </w:r>
      <w:r w:rsidRPr="00F449E8">
        <w:rPr>
          <w:spacing w:val="-22"/>
        </w:rPr>
        <w:t xml:space="preserve"> </w:t>
      </w:r>
      <w:r w:rsidRPr="00F449E8">
        <w:t>та</w:t>
      </w:r>
      <w:r w:rsidRPr="00F449E8">
        <w:rPr>
          <w:spacing w:val="-16"/>
        </w:rPr>
        <w:t xml:space="preserve"> </w:t>
      </w:r>
      <w:r w:rsidRPr="00F449E8">
        <w:t>після формування системою Протоколу електронних торгів, але до моменту публікації договору купівлі-продажу/оренди (договору, на підставі якого буде передане право) відповідного лоту в</w:t>
      </w:r>
      <w:r w:rsidRPr="00F449E8">
        <w:rPr>
          <w:spacing w:val="-6"/>
        </w:rPr>
        <w:t xml:space="preserve"> </w:t>
      </w:r>
      <w:r w:rsidRPr="00F449E8">
        <w:t>ЕТС.</w:t>
      </w:r>
    </w:p>
    <w:p w14:paraId="4D605E9B" w14:textId="77777777" w:rsidR="001D45DE" w:rsidRPr="00F449E8" w:rsidRDefault="001D45DE" w:rsidP="001D45DE">
      <w:pPr>
        <w:pStyle w:val="a6"/>
        <w:spacing w:before="3"/>
      </w:pPr>
    </w:p>
    <w:p w14:paraId="051A2C4A" w14:textId="77777777" w:rsidR="001D45DE" w:rsidRPr="00F449E8" w:rsidRDefault="001D45DE" w:rsidP="001D45DE">
      <w:pPr>
        <w:pStyle w:val="a6"/>
        <w:tabs>
          <w:tab w:val="left" w:pos="8789"/>
        </w:tabs>
        <w:ind w:left="262"/>
        <w:jc w:val="both"/>
      </w:pPr>
      <w:r w:rsidRPr="00F449E8">
        <w:t xml:space="preserve">Надання доступу Користувачу до участі в конкретних електронних торгах здійснюється на умовах 100% (стовідсоткової) оплати гарантійного внеску, яка вноситься Користувачем до оголошеного в ЕТС строку прийняття пропозицій від Учасників за автоматично сформованим в ЕТС рахунком. Розмір гарантійного внеску зазначається в описі та документації аукціону. </w:t>
      </w:r>
    </w:p>
    <w:p w14:paraId="5821CD67" w14:textId="77777777" w:rsidR="001D45DE" w:rsidRPr="00F449E8" w:rsidRDefault="001D45DE" w:rsidP="001D45DE">
      <w:pPr>
        <w:pStyle w:val="a6"/>
        <w:ind w:left="262"/>
        <w:jc w:val="both"/>
      </w:pPr>
      <w:r w:rsidRPr="00F449E8">
        <w:t>Гарантійний внесок є гарантійним грошовим забезпеченням, що вноситься учасниками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14:paraId="23D1BCF0" w14:textId="3B870928" w:rsidR="00386154" w:rsidRPr="00F449E8" w:rsidRDefault="00386154" w:rsidP="001D45D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49E8">
        <w:rPr>
          <w:rFonts w:ascii="Times New Roman" w:eastAsia="Times New Roman" w:hAnsi="Times New Roman" w:cs="Times New Roman"/>
          <w:sz w:val="24"/>
          <w:szCs w:val="24"/>
          <w:lang w:val="uk-UA" w:eastAsia="ru-RU"/>
        </w:rPr>
        <w:lastRenderedPageBreak/>
        <w:t>3.</w:t>
      </w:r>
      <w:r w:rsidR="00874243">
        <w:rPr>
          <w:rFonts w:ascii="Times New Roman" w:eastAsia="Times New Roman" w:hAnsi="Times New Roman" w:cs="Times New Roman"/>
          <w:sz w:val="24"/>
          <w:szCs w:val="24"/>
          <w:lang w:val="uk-UA" w:eastAsia="ru-RU"/>
        </w:rPr>
        <w:t>4</w:t>
      </w:r>
      <w:r w:rsidRPr="00F449E8">
        <w:rPr>
          <w:rFonts w:ascii="Times New Roman" w:eastAsia="Times New Roman" w:hAnsi="Times New Roman" w:cs="Times New Roman"/>
          <w:sz w:val="24"/>
          <w:szCs w:val="24"/>
          <w:lang w:val="uk-UA" w:eastAsia="ru-RU"/>
        </w:rPr>
        <w:t>. Розмір грошової винагороди Оператора за придбаний спеціальний дозвіл на користування надрами, зазначається у відсотковому відношенні до ціни продажу, яка зазначена в Протоколі аукціону. На момент акцепту оферти діють наступні тарифи:</w:t>
      </w:r>
    </w:p>
    <w:p w14:paraId="404A18D5" w14:textId="77777777" w:rsidR="00386154" w:rsidRPr="00F449E8" w:rsidRDefault="00386154" w:rsidP="00386154">
      <w:pPr>
        <w:pStyle w:val="11"/>
        <w:pBdr>
          <w:top w:val="nil"/>
          <w:left w:val="nil"/>
          <w:bottom w:val="nil"/>
          <w:right w:val="nil"/>
          <w:between w:val="nil"/>
        </w:pBdr>
        <w:ind w:firstLine="567"/>
        <w:jc w:val="both"/>
        <w:rPr>
          <w:sz w:val="24"/>
          <w:szCs w:val="24"/>
        </w:rPr>
      </w:pPr>
      <w:r w:rsidRPr="00F449E8">
        <w:rPr>
          <w:sz w:val="24"/>
          <w:szCs w:val="24"/>
        </w:rPr>
        <w:t>- 1 відсоток ціни реалізації лоту у разі, коли вона є меншою, ніж 15 000 000 грн.;</w:t>
      </w:r>
    </w:p>
    <w:p w14:paraId="75A76E74" w14:textId="77777777" w:rsidR="00386154" w:rsidRPr="00F449E8" w:rsidRDefault="00386154" w:rsidP="00386154">
      <w:pPr>
        <w:pStyle w:val="11"/>
        <w:pBdr>
          <w:top w:val="nil"/>
          <w:left w:val="nil"/>
          <w:bottom w:val="nil"/>
          <w:right w:val="nil"/>
          <w:between w:val="nil"/>
        </w:pBdr>
        <w:ind w:firstLine="567"/>
        <w:jc w:val="both"/>
        <w:rPr>
          <w:sz w:val="24"/>
          <w:szCs w:val="24"/>
        </w:rPr>
      </w:pPr>
      <w:r w:rsidRPr="00F449E8">
        <w:rPr>
          <w:sz w:val="24"/>
          <w:szCs w:val="24"/>
        </w:rPr>
        <w:t>- 0,5 відсотка ціни реалізації лота у разі, коли вона становить 15 000 000 грн. або більше.</w:t>
      </w:r>
    </w:p>
    <w:p w14:paraId="3345587E"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49E8">
        <w:rPr>
          <w:rFonts w:ascii="Times New Roman" w:eastAsia="Times New Roman" w:hAnsi="Times New Roman" w:cs="Times New Roman"/>
          <w:sz w:val="24"/>
          <w:szCs w:val="24"/>
          <w:lang w:val="uk-UA" w:eastAsia="ru-RU"/>
        </w:rPr>
        <w:t>Надання доступу Користувачу до участі в конкретному аукціоні здійснюється на умовах 100% (стовідсоткової) оплати гарантійного внеску, який вноситься Користувачем до оголошеного в ЕТС строку прийняття пропозицій від Учасників за автоматично сформованим в ЕТС рахунком. Розмір гарантійного внеску зазначається в описі та документації аукціону.</w:t>
      </w:r>
    </w:p>
    <w:p w14:paraId="0660B976"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Гарантійний внесок є гарантійним грошовим забезпеченням, що вноситься учасниками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w:t>
      </w:r>
    </w:p>
    <w:p w14:paraId="47B7959F" w14:textId="629D57F5"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874243">
        <w:rPr>
          <w:rFonts w:ascii="Times New Roman" w:eastAsia="Times New Roman" w:hAnsi="Times New Roman" w:cs="Times New Roman"/>
          <w:sz w:val="24"/>
          <w:szCs w:val="24"/>
          <w:lang w:val="uk-UA" w:eastAsia="ru-RU"/>
        </w:rPr>
        <w:t>5</w:t>
      </w:r>
      <w:r w:rsidRPr="00666401">
        <w:rPr>
          <w:rFonts w:ascii="Times New Roman" w:eastAsia="Times New Roman" w:hAnsi="Times New Roman" w:cs="Times New Roman"/>
          <w:sz w:val="24"/>
          <w:szCs w:val="24"/>
          <w:lang w:val="uk-UA" w:eastAsia="ru-RU"/>
        </w:rPr>
        <w:t>. Гарантійний внесок може вважатися сплаченим із моменту його зарахування на банківський рахунок Оператора, якщо це відбулося не пізніше ніж за одну годину до закінчення строку подання цінових пропозицій на участь у конкретних електронних торгах.</w:t>
      </w:r>
    </w:p>
    <w:p w14:paraId="68F3BF9D"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На перерахований Користувачем гарантійний внесок на рахунок Оператора не поширюється право власності Оператора до моменту формування Протоколу електронних торгів, в якому Користувача визнано переможцем такого аукціону.</w:t>
      </w:r>
    </w:p>
    <w:p w14:paraId="6A0AD57B" w14:textId="5AF6253D"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874243">
        <w:rPr>
          <w:rFonts w:ascii="Times New Roman" w:eastAsia="Times New Roman" w:hAnsi="Times New Roman" w:cs="Times New Roman"/>
          <w:sz w:val="24"/>
          <w:szCs w:val="24"/>
          <w:lang w:val="uk-UA" w:eastAsia="ru-RU"/>
        </w:rPr>
        <w:t>6</w:t>
      </w:r>
      <w:r w:rsidRPr="00666401">
        <w:rPr>
          <w:rFonts w:ascii="Times New Roman" w:eastAsia="Times New Roman" w:hAnsi="Times New Roman" w:cs="Times New Roman"/>
          <w:sz w:val="24"/>
          <w:szCs w:val="24"/>
          <w:lang w:val="uk-UA" w:eastAsia="ru-RU"/>
        </w:rPr>
        <w:t>. Користувач, у разі незгоди з переглянутими Тарифами, має право відмовитись від Договору, повідомивши про це Оператора письмово. У разі неотримання відмови вважається, що Користувач погоджується з новими Тарифами.</w:t>
      </w:r>
    </w:p>
    <w:p w14:paraId="3CACBBA8" w14:textId="76605883" w:rsidR="00902613"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874243">
        <w:rPr>
          <w:rFonts w:ascii="Times New Roman" w:eastAsia="Times New Roman" w:hAnsi="Times New Roman" w:cs="Times New Roman"/>
          <w:sz w:val="24"/>
          <w:szCs w:val="24"/>
          <w:lang w:val="uk-UA" w:eastAsia="ru-RU"/>
        </w:rPr>
        <w:t>7</w:t>
      </w:r>
      <w:r w:rsidRPr="00666401">
        <w:rPr>
          <w:rFonts w:ascii="Times New Roman" w:eastAsia="Times New Roman" w:hAnsi="Times New Roman" w:cs="Times New Roman"/>
          <w:sz w:val="24"/>
          <w:szCs w:val="24"/>
          <w:lang w:val="uk-UA" w:eastAsia="ru-RU"/>
        </w:rPr>
        <w:t>. Повернення в ЕТС сплачених гарантійних внесків учасникам, а також розподіл винагороди Оператора/Операторів здійснюється відповідно до умов Регламенту ЕТС</w:t>
      </w:r>
      <w:r>
        <w:rPr>
          <w:rFonts w:ascii="Times New Roman" w:eastAsia="Times New Roman" w:hAnsi="Times New Roman" w:cs="Times New Roman"/>
          <w:sz w:val="24"/>
          <w:szCs w:val="24"/>
          <w:lang w:val="uk-UA" w:eastAsia="ru-RU"/>
        </w:rPr>
        <w:t xml:space="preserve">, а у випадку аукціонів з продажу спеціальних дозволів відповідно </w:t>
      </w:r>
      <w:r w:rsidRPr="00A203CC">
        <w:rPr>
          <w:rFonts w:ascii="Times New Roman" w:eastAsia="Times New Roman" w:hAnsi="Times New Roman" w:cs="Times New Roman"/>
          <w:sz w:val="24"/>
          <w:szCs w:val="24"/>
          <w:lang w:val="uk-UA" w:eastAsia="ru-RU"/>
        </w:rPr>
        <w:t xml:space="preserve">до </w:t>
      </w:r>
      <w:r w:rsidRPr="00A203CC">
        <w:rPr>
          <w:rFonts w:ascii="Times New Roman" w:hAnsi="Times New Roman"/>
          <w:sz w:val="24"/>
          <w:szCs w:val="24"/>
        </w:rPr>
        <w:t xml:space="preserve">Тимчасового порядку реалізації </w:t>
      </w:r>
      <w:r>
        <w:rPr>
          <w:rFonts w:ascii="Times New Roman" w:hAnsi="Times New Roman"/>
          <w:sz w:val="24"/>
          <w:szCs w:val="24"/>
        </w:rPr>
        <w:t>експериментального проекту</w:t>
      </w:r>
      <w:r>
        <w:rPr>
          <w:rFonts w:ascii="Times New Roman" w:eastAsia="Times New Roman" w:hAnsi="Times New Roman" w:cs="Times New Roman"/>
          <w:sz w:val="24"/>
          <w:szCs w:val="24"/>
          <w:lang w:val="uk-UA" w:eastAsia="ru-RU"/>
        </w:rPr>
        <w:t xml:space="preserve"> </w:t>
      </w:r>
      <w:r>
        <w:rPr>
          <w:rFonts w:ascii="Times New Roman" w:hAnsi="Times New Roman"/>
          <w:sz w:val="24"/>
          <w:szCs w:val="24"/>
        </w:rPr>
        <w:t>із запровадження проведення аукціонів з продажу  с</w:t>
      </w:r>
      <w:r w:rsidRPr="00A203CC">
        <w:rPr>
          <w:rFonts w:ascii="Times New Roman" w:hAnsi="Times New Roman"/>
          <w:sz w:val="24"/>
          <w:szCs w:val="24"/>
        </w:rPr>
        <w:t>пеціальних дозволів на користування надрами шляхом електронних</w:t>
      </w:r>
      <w:r w:rsidRPr="00987C23">
        <w:rPr>
          <w:rFonts w:ascii="Times New Roman" w:hAnsi="Times New Roman"/>
          <w:sz w:val="24"/>
          <w:szCs w:val="24"/>
        </w:rPr>
        <w:t xml:space="preserve"> торгів, затверджен</w:t>
      </w:r>
      <w:r w:rsidRPr="004107F0">
        <w:rPr>
          <w:rFonts w:ascii="Times New Roman" w:hAnsi="Times New Roman"/>
          <w:sz w:val="24"/>
          <w:szCs w:val="24"/>
        </w:rPr>
        <w:t>ого</w:t>
      </w:r>
      <w:r w:rsidRPr="00987C23">
        <w:rPr>
          <w:rFonts w:ascii="Times New Roman" w:hAnsi="Times New Roman"/>
          <w:sz w:val="24"/>
          <w:szCs w:val="24"/>
        </w:rPr>
        <w:t xml:space="preserve"> Постановою КМУ від 17.10.2018 р. №848</w:t>
      </w:r>
      <w:r w:rsidRPr="00666401">
        <w:rPr>
          <w:rFonts w:ascii="Times New Roman" w:eastAsia="Times New Roman" w:hAnsi="Times New Roman" w:cs="Times New Roman"/>
          <w:sz w:val="24"/>
          <w:szCs w:val="24"/>
          <w:lang w:val="uk-UA" w:eastAsia="ru-RU"/>
        </w:rPr>
        <w:t xml:space="preserve">. Актуальні регламенти розміщені на електронному майданчику Оператора за адресою </w:t>
      </w:r>
      <w:hyperlink r:id="rId7" w:history="1">
        <w:r w:rsidR="00C65D65">
          <w:rPr>
            <w:rStyle w:val="a3"/>
          </w:rPr>
          <w:t>https://sale.birzha.km.ua/reglament.aspx</w:t>
        </w:r>
      </w:hyperlink>
    </w:p>
    <w:p w14:paraId="49A7EC0E" w14:textId="07E7D9BD"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874243">
        <w:rPr>
          <w:rFonts w:ascii="Times New Roman" w:eastAsia="Times New Roman" w:hAnsi="Times New Roman" w:cs="Times New Roman"/>
          <w:sz w:val="24"/>
          <w:szCs w:val="24"/>
          <w:lang w:val="uk-UA" w:eastAsia="ru-RU"/>
        </w:rPr>
        <w:t>8</w:t>
      </w:r>
      <w:r w:rsidRPr="00666401">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робочих днів після дня формування Акту наданих послуг за відповідний період у Особистому кабінеті Користувача не пред’явлена претензія. У разі відсутності претензії, акт прийому-передачі виконаних Послуг вважається підписаним, а Послуги – наданими належним чином.</w:t>
      </w:r>
    </w:p>
    <w:p w14:paraId="4A17AEA0" w14:textId="582CB319"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874243">
        <w:rPr>
          <w:rFonts w:ascii="Times New Roman" w:eastAsia="Times New Roman" w:hAnsi="Times New Roman" w:cs="Times New Roman"/>
          <w:sz w:val="24"/>
          <w:szCs w:val="24"/>
          <w:lang w:val="uk-UA" w:eastAsia="ru-RU"/>
        </w:rPr>
        <w:t>9</w:t>
      </w:r>
      <w:r w:rsidRPr="00666401">
        <w:rPr>
          <w:rFonts w:ascii="Times New Roman" w:eastAsia="Times New Roman" w:hAnsi="Times New Roman" w:cs="Times New Roman"/>
          <w:sz w:val="24"/>
          <w:szCs w:val="24"/>
          <w:lang w:val="uk-UA" w:eastAsia="ru-RU"/>
        </w:rPr>
        <w:t>. Користувач здійснює акцепт Оферти і укладення Договору шляхом попередньої оплати з власного розрахункового рахунку або завантаження сканованих копій документів для фізичних осіб в порядку передбаченому п.2.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Оферти.</w:t>
      </w:r>
    </w:p>
    <w:p w14:paraId="09930C4A"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4. Термін дії і зміна умов Оферти</w:t>
      </w:r>
    </w:p>
    <w:p w14:paraId="694B3664" w14:textId="3CC32D1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4.1. Оферта набуває чинності з моменту розміщення в мережі Інтернет за адресою:</w:t>
      </w:r>
      <w:r w:rsidR="00C65D65">
        <w:rPr>
          <w:rFonts w:ascii="Times New Roman" w:eastAsia="Times New Roman" w:hAnsi="Times New Roman" w:cs="Times New Roman"/>
          <w:sz w:val="24"/>
          <w:szCs w:val="24"/>
          <w:lang w:val="uk-UA" w:eastAsia="ru-RU"/>
        </w:rPr>
        <w:t xml:space="preserve"> </w:t>
      </w:r>
      <w:r w:rsidR="00C65D65" w:rsidRPr="00C65D65">
        <w:rPr>
          <w:rFonts w:ascii="Times New Roman" w:eastAsia="Times New Roman" w:hAnsi="Times New Roman" w:cs="Times New Roman"/>
          <w:sz w:val="24"/>
          <w:szCs w:val="24"/>
          <w:lang w:val="uk-UA" w:eastAsia="ru-RU"/>
        </w:rPr>
        <w:t>sale.birzha.km.ua</w:t>
      </w:r>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14:paraId="05728D6C"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на електронному майданчику за вказаною в п.4.1 Договору адресою, якщо інший строк набрання чинності змінами не визначений додатково при такому розміщенні.</w:t>
      </w:r>
    </w:p>
    <w:p w14:paraId="16A81BB7"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5. Термін дії Договору та припинення Договору</w:t>
      </w:r>
    </w:p>
    <w:p w14:paraId="4A3BE6CA"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5.1. Акцепт Оферти Користувачем, здійснений відповідно до п.2.3. Оферти, зумовлює укладення Договору на умовах Оферти.</w:t>
      </w:r>
    </w:p>
    <w:p w14:paraId="7711ACC5"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(один) календарний рік, але у будь якому випадку до повного виконання Сторонами своїх зобов`язань за цим Договором.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7C1DF627"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 Договір може бути припинений:</w:t>
      </w:r>
    </w:p>
    <w:p w14:paraId="24792849"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У будь-який час за згодою Сторін;</w:t>
      </w:r>
    </w:p>
    <w:p w14:paraId="570B4492"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5.3.2. За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66527CE3"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5.3.3. За ініціативою однієї із Сторін за умови письмового повідомлення іншої Сторони за 10 (десять) календарних днів до дати розірвання Договору;</w:t>
      </w:r>
    </w:p>
    <w:p w14:paraId="058E073B"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5.3.4. З інших підстав, передбачених цією Офертою (Договором);</w:t>
      </w:r>
    </w:p>
    <w:p w14:paraId="34B81217"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5.3.5. У разі розірвання Договору з ініціативи Оператора, крім випадків порушення Користувачем зобов`язань відповідно до п.2.2 цього Договору, Оператор повертає Користувачу вартість передплачених, але не наданих Послуг і порядку передбаченим п.3.7. Договору</w:t>
      </w:r>
    </w:p>
    <w:p w14:paraId="149AC3EA"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6. Відомості про конфіденційність та гарантії</w:t>
      </w:r>
    </w:p>
    <w:p w14:paraId="105AAD65"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6.1. Вся інформація, якою Сторони обмінюються з метою виконання умов цього Договору, включаючи інформацію про технології та технічні рішення, використаних на Електронному майданчику, а також будь-яка комерційна інформація про умови співпраці Сторін, є конфіденційною,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У разі вимушеного розголошення, Сторони зобов`язані негайно, але не пізніше, ніж протягом 3 (трьох) робочих днів з моменту вимушеного розголошення, письмово повідомити іншу Сторону про це.</w:t>
      </w:r>
    </w:p>
    <w:p w14:paraId="01BAB6D0"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14:paraId="73040919"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 Погоджуючись з умовами та приймаючи умови цієї Оферти шляхом її Акцепту, Користувач засвідчує і гарантує Оператор, що:</w:t>
      </w:r>
    </w:p>
    <w:p w14:paraId="7CDE057B"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6.3.1. Користувач вказав достовірні дані (у тому числі персональні дані Користувача) при реєстрації в якості користувача на Електронному майданчику і при оформленні платіжних документів при оплаті Послуг;</w:t>
      </w:r>
    </w:p>
    <w:p w14:paraId="6C854B1F"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14:paraId="509FE5D0" w14:textId="77777777" w:rsidR="00386154" w:rsidRPr="00666401" w:rsidRDefault="00386154" w:rsidP="003861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ознайомився з умовами Оферти,</w:t>
      </w:r>
    </w:p>
    <w:p w14:paraId="214038A7" w14:textId="77777777" w:rsidR="00386154" w:rsidRPr="00666401" w:rsidRDefault="00386154" w:rsidP="003861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розуміє предмет Договору (Оферти);</w:t>
      </w:r>
    </w:p>
    <w:p w14:paraId="37CA1B36" w14:textId="77777777" w:rsidR="00386154" w:rsidRPr="00666401" w:rsidRDefault="00386154" w:rsidP="003861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ознайомлений і повністю погоджується із Регламентом ЕТС, який зазначений в п.2.2. Договору;</w:t>
      </w:r>
    </w:p>
    <w:p w14:paraId="5F82B777"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14:paraId="34C529B2"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Користувач також погодився з тим, що в випадку використання електронного цифрового підпису в документообороті в межах виконання цієї Оферти, Сторонами погоджено використання такого електронного цифрового підпису в порядку і на умовах передбачених Законом України «Про електронний цифровий підпис». При цьому, Сторони погодили, що в випадку використання електронного цифрового підпису, додаткове використання печатки (електронний печатки) для документів в межах виконання цієї Оферти не є потрібним.</w:t>
      </w:r>
    </w:p>
    <w:p w14:paraId="0ADD66DC"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7. Відповідальність і обмеження відповідальності</w:t>
      </w:r>
    </w:p>
    <w:p w14:paraId="6ABFCD8D"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14:paraId="5B3D8CF0"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14:paraId="6354B08C"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7.2.1. за зміст документів та інформації, що оприлюднюються під час процедури закупівлі. Оператор має право здійснювати контроль за інформацією, що розміщується Користувачем, та повідомляти Користувача, що розмістив інформацію неналежного змісту про такі випадки;</w:t>
      </w:r>
    </w:p>
    <w:p w14:paraId="4305D123"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 що містяться у розділі 6 Оферти;</w:t>
      </w:r>
    </w:p>
    <w:p w14:paraId="5135033B"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7.2.3. свої дії, які вчиняються ним на Електронному майданчику під час процедури закупівлі, та дії осіб, які вчиняються від його імені з використанням його даних персональної ідентифікації;</w:t>
      </w:r>
    </w:p>
    <w:p w14:paraId="79C9CE44"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7.2.4. розміщення на Електронному майданчику інформації шкідливого та образливого характеру та інформації, що не має відношення до проведення закупівлі.</w:t>
      </w:r>
    </w:p>
    <w:p w14:paraId="4DFAECC1"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Беручи до уваги умови розділу 7 Оферти, Користувач зобов`язується своїми силами і за свій рахунок вирішувати спори і врегулювати претензії третіх осіб щодо розміщуваних матеріалів, або відшкодувати збитки (включаючи судові витрати), завдані Оператору Електронного майданчика в зв`язку з претензіями та позовами, підставою пред`явлення яких стало розміщення матеріалів Користувача.</w:t>
      </w:r>
    </w:p>
    <w:p w14:paraId="2E59913D"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8. Порядок вирішення спорів</w:t>
      </w:r>
    </w:p>
    <w:p w14:paraId="3D25A4EE"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8.1. Всі спори та розбіжності, пов`язані з Офертою (Договором), Сторони вирішують шляхом переговорів.</w:t>
      </w:r>
    </w:p>
    <w:p w14:paraId="68351B25"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585F4EBB"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9. Форс-мажор</w:t>
      </w:r>
    </w:p>
    <w:p w14:paraId="5B5C322D"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9.1.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7AFDC4CE"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9.2.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74741894" w14:textId="77777777" w:rsidR="004107F0" w:rsidRPr="003C49F0"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9.3.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24DFEED0" w14:textId="77777777" w:rsidR="00386154" w:rsidRPr="00666401" w:rsidRDefault="00386154" w:rsidP="0038615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10. Реквізити сторін</w:t>
      </w:r>
    </w:p>
    <w:tbl>
      <w:tblPr>
        <w:tblW w:w="4963"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4668"/>
        <w:gridCol w:w="4900"/>
      </w:tblGrid>
      <w:tr w:rsidR="002C2A2E" w:rsidRPr="00666401" w14:paraId="1911DB44" w14:textId="77777777" w:rsidTr="00454A15">
        <w:trPr>
          <w:tblCellSpacing w:w="15" w:type="dxa"/>
        </w:trPr>
        <w:tc>
          <w:tcPr>
            <w:tcW w:w="2416" w:type="pct"/>
            <w:vAlign w:val="center"/>
          </w:tcPr>
          <w:p w14:paraId="3DD95D95" w14:textId="77777777"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537" w:type="pct"/>
            <w:vAlign w:val="center"/>
          </w:tcPr>
          <w:p w14:paraId="56E7E38F" w14:textId="77777777"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C65D65" w:rsidRPr="00666401" w14:paraId="1F4D4CA4" w14:textId="77777777" w:rsidTr="005A6663">
        <w:trPr>
          <w:tblCellSpacing w:w="15" w:type="dxa"/>
        </w:trPr>
        <w:tc>
          <w:tcPr>
            <w:tcW w:w="2416" w:type="pct"/>
          </w:tcPr>
          <w:p w14:paraId="184EFDE5" w14:textId="77777777" w:rsidR="00D309F6" w:rsidRDefault="00D309F6" w:rsidP="00C65D65">
            <w:pPr>
              <w:pStyle w:val="a8"/>
              <w:rPr>
                <w:b/>
                <w:bCs/>
              </w:rPr>
            </w:pPr>
            <w:r w:rsidRPr="00D309F6">
              <w:rPr>
                <w:b/>
                <w:bCs/>
              </w:rPr>
              <w:t xml:space="preserve">ТОВАРИСТВО З ОБМЕЖЕНОЮ ВІДПОВІДАЛЬНІСТЮ </w:t>
            </w:r>
          </w:p>
          <w:p w14:paraId="2107DAA1" w14:textId="77777777" w:rsidR="00D309F6" w:rsidRDefault="00D309F6" w:rsidP="00C65D65">
            <w:pPr>
              <w:pStyle w:val="a8"/>
              <w:rPr>
                <w:b/>
                <w:bCs/>
              </w:rPr>
            </w:pPr>
            <w:r w:rsidRPr="00D309F6">
              <w:rPr>
                <w:b/>
                <w:bCs/>
              </w:rPr>
              <w:t>«БІРЖА ПОДІЛЬСЬКА»</w:t>
            </w:r>
            <w:r>
              <w:rPr>
                <w:b/>
                <w:bCs/>
              </w:rPr>
              <w:t xml:space="preserve"> </w:t>
            </w:r>
          </w:p>
          <w:p w14:paraId="5339A149" w14:textId="77777777" w:rsidR="00D309F6" w:rsidRDefault="00C65D65" w:rsidP="00C65D65">
            <w:pPr>
              <w:pStyle w:val="a8"/>
            </w:pPr>
            <w:r w:rsidRPr="00C65D65">
              <w:t xml:space="preserve">29000 м. Хмельницький, </w:t>
            </w:r>
          </w:p>
          <w:p w14:paraId="31CDA798" w14:textId="455B1B78" w:rsidR="00C65D65" w:rsidRPr="00C65D65" w:rsidRDefault="00C65D65" w:rsidP="00C65D65">
            <w:pPr>
              <w:pStyle w:val="a8"/>
            </w:pPr>
            <w:r w:rsidRPr="00C65D65">
              <w:t>вул. Героїв Майдану, 10</w:t>
            </w:r>
          </w:p>
          <w:p w14:paraId="57FAE8A3" w14:textId="77777777" w:rsidR="003E6777" w:rsidRDefault="00C65D65" w:rsidP="00C65D65">
            <w:pPr>
              <w:pStyle w:val="a8"/>
            </w:pPr>
            <w:r w:rsidRPr="00C65D65">
              <w:rPr>
                <w:lang w:val="en-US"/>
              </w:rPr>
              <w:t>UA</w:t>
            </w:r>
            <w:r w:rsidR="00C32283" w:rsidRPr="00C32283">
              <w:t>673006140000026008500396902</w:t>
            </w:r>
            <w:r w:rsidRPr="00C65D65">
              <w:t xml:space="preserve"> </w:t>
            </w:r>
          </w:p>
          <w:p w14:paraId="4953457E" w14:textId="2E9BF833" w:rsidR="00C65D65" w:rsidRPr="00C65D65" w:rsidRDefault="003E6777" w:rsidP="00C65D65">
            <w:pPr>
              <w:pStyle w:val="a8"/>
            </w:pPr>
            <w:r w:rsidRPr="00C65D65">
              <w:t>У</w:t>
            </w:r>
            <w:r>
              <w:t xml:space="preserve"> </w:t>
            </w:r>
            <w:r w:rsidR="00C65D65" w:rsidRPr="00C65D65">
              <w:t xml:space="preserve">АТ «КРЕДІ АГРІКОЛЬ Банк», </w:t>
            </w:r>
          </w:p>
          <w:p w14:paraId="1A9DBF34" w14:textId="77777777" w:rsidR="00C65D65" w:rsidRPr="00C65D65" w:rsidRDefault="00C65D65" w:rsidP="00C65D65">
            <w:pPr>
              <w:pStyle w:val="a8"/>
            </w:pPr>
            <w:r w:rsidRPr="00C65D65">
              <w:t>Код ЄДРПОУ 32452151</w:t>
            </w:r>
          </w:p>
          <w:p w14:paraId="30BCEBDC" w14:textId="77777777" w:rsidR="00C65D65" w:rsidRPr="00C65D65" w:rsidRDefault="00C65D65" w:rsidP="00C65D65">
            <w:pPr>
              <w:pStyle w:val="a8"/>
            </w:pPr>
            <w:r w:rsidRPr="00C65D65">
              <w:rPr>
                <w:lang w:val="en-US"/>
              </w:rPr>
              <w:t>birzha</w:t>
            </w:r>
            <w:r w:rsidRPr="00C65D65">
              <w:t>.</w:t>
            </w:r>
            <w:r w:rsidRPr="00C65D65">
              <w:rPr>
                <w:lang w:val="en-US"/>
              </w:rPr>
              <w:t>km</w:t>
            </w:r>
            <w:r w:rsidRPr="00C65D65">
              <w:t>.</w:t>
            </w:r>
            <w:r w:rsidRPr="00C65D65">
              <w:rPr>
                <w:lang w:val="en-US"/>
              </w:rPr>
              <w:t>ua</w:t>
            </w:r>
            <w:r w:rsidRPr="00C65D65">
              <w:t xml:space="preserve"> </w:t>
            </w:r>
          </w:p>
          <w:p w14:paraId="0A2082F9" w14:textId="77777777" w:rsidR="00D309F6" w:rsidRPr="00E32161" w:rsidRDefault="00D309F6" w:rsidP="00D309F6">
            <w:pPr>
              <w:pStyle w:val="a8"/>
            </w:pPr>
            <w:r w:rsidRPr="00E32161">
              <w:t>Телефон: (0382) 79-58-01, 70-22-11,</w:t>
            </w:r>
          </w:p>
          <w:p w14:paraId="1C4D5384" w14:textId="77777777" w:rsidR="00D309F6" w:rsidRPr="00E32161" w:rsidRDefault="00D309F6" w:rsidP="00D309F6">
            <w:pPr>
              <w:pStyle w:val="a8"/>
              <w:rPr>
                <w:lang w:val="en-US"/>
              </w:rPr>
            </w:pPr>
            <w:r w:rsidRPr="00E32161">
              <w:rPr>
                <w:lang w:val="en-US"/>
              </w:rPr>
              <w:t>067-370-22-11</w:t>
            </w:r>
          </w:p>
          <w:p w14:paraId="5627CE5F" w14:textId="5D89A640" w:rsidR="00C65D65" w:rsidRPr="00E32161" w:rsidRDefault="00D309F6" w:rsidP="00D309F6">
            <w:pPr>
              <w:pStyle w:val="a8"/>
              <w:rPr>
                <w:lang w:val="en-US"/>
              </w:rPr>
            </w:pPr>
            <w:r w:rsidRPr="00D309F6">
              <w:rPr>
                <w:lang w:val="ru-RU"/>
              </w:rPr>
              <w:t>Е</w:t>
            </w:r>
            <w:r w:rsidRPr="00E32161">
              <w:rPr>
                <w:lang w:val="en-US"/>
              </w:rPr>
              <w:t>-</w:t>
            </w:r>
            <w:r w:rsidRPr="00D309F6">
              <w:rPr>
                <w:lang w:val="en-US"/>
              </w:rPr>
              <w:t>mail</w:t>
            </w:r>
            <w:r w:rsidRPr="00E32161">
              <w:rPr>
                <w:lang w:val="en-US"/>
              </w:rPr>
              <w:t xml:space="preserve">: </w:t>
            </w:r>
            <w:r w:rsidRPr="00D309F6">
              <w:rPr>
                <w:lang w:val="en-US"/>
              </w:rPr>
              <w:t>info</w:t>
            </w:r>
            <w:r w:rsidRPr="00E32161">
              <w:rPr>
                <w:lang w:val="en-US"/>
              </w:rPr>
              <w:t>@</w:t>
            </w:r>
            <w:r w:rsidRPr="00D309F6">
              <w:rPr>
                <w:lang w:val="en-US"/>
              </w:rPr>
              <w:t>birzha</w:t>
            </w:r>
            <w:r w:rsidRPr="00E32161">
              <w:rPr>
                <w:lang w:val="en-US"/>
              </w:rPr>
              <w:t>.</w:t>
            </w:r>
            <w:r w:rsidRPr="00D309F6">
              <w:rPr>
                <w:lang w:val="en-US"/>
              </w:rPr>
              <w:t>km</w:t>
            </w:r>
            <w:r w:rsidRPr="00E32161">
              <w:rPr>
                <w:lang w:val="en-US"/>
              </w:rPr>
              <w:t>.</w:t>
            </w:r>
            <w:r w:rsidRPr="00D309F6">
              <w:rPr>
                <w:lang w:val="en-US"/>
              </w:rPr>
              <w:t>ua</w:t>
            </w:r>
          </w:p>
          <w:p w14:paraId="4CB7F27B" w14:textId="77777777" w:rsidR="00C65D65" w:rsidRDefault="00C65D65" w:rsidP="00C65D65">
            <w:pPr>
              <w:pStyle w:val="a8"/>
            </w:pPr>
          </w:p>
          <w:p w14:paraId="34AF148C" w14:textId="77777777" w:rsidR="00C65D65" w:rsidRDefault="00C65D65" w:rsidP="00C65D65">
            <w:pPr>
              <w:pStyle w:val="a8"/>
            </w:pPr>
          </w:p>
          <w:p w14:paraId="068643D1" w14:textId="77777777" w:rsidR="00C65D65" w:rsidRDefault="00C65D65" w:rsidP="00C65D65">
            <w:pPr>
              <w:pStyle w:val="a8"/>
            </w:pPr>
          </w:p>
          <w:p w14:paraId="409407D5" w14:textId="3BB41494" w:rsidR="00C65D65" w:rsidRPr="004107F0" w:rsidRDefault="00C65D65" w:rsidP="00C65D65">
            <w:pPr>
              <w:pStyle w:val="a8"/>
              <w:rPr>
                <w:bCs/>
                <w:lang w:eastAsia="ru-RU"/>
              </w:rPr>
            </w:pPr>
            <w:r w:rsidRPr="00C65D65">
              <w:t>Директор        О.С.Бацура</w:t>
            </w:r>
          </w:p>
        </w:tc>
        <w:tc>
          <w:tcPr>
            <w:tcW w:w="2537" w:type="pct"/>
            <w:vAlign w:val="center"/>
          </w:tcPr>
          <w:p w14:paraId="09FD3E77" w14:textId="77777777" w:rsidR="00C65D65" w:rsidRPr="00666401" w:rsidRDefault="00C65D65" w:rsidP="00C65D65">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p>
          <w:p w14:paraId="535204AA" w14:textId="77777777" w:rsidR="00C65D65" w:rsidRDefault="00C65D65" w:rsidP="00C65D65">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r>
            <w:r w:rsidRPr="00666401">
              <w:rPr>
                <w:rFonts w:ascii="Times New Roman" w:eastAsia="Times New Roman" w:hAnsi="Times New Roman" w:cs="Times New Roman"/>
                <w:sz w:val="24"/>
                <w:szCs w:val="24"/>
                <w:lang w:val="uk-UA" w:eastAsia="ru-RU"/>
              </w:rPr>
              <w:br/>
            </w:r>
          </w:p>
          <w:p w14:paraId="0C89D8C2" w14:textId="77777777" w:rsidR="00C65D65" w:rsidRPr="00666401" w:rsidRDefault="00C65D65" w:rsidP="00C65D65">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14:paraId="7381F1F6" w14:textId="77777777" w:rsidR="007A1A55" w:rsidRDefault="007A1A55"/>
    <w:sectPr w:rsidR="007A1A55" w:rsidSect="00454A15">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3"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55"/>
    <w:rsid w:val="000E73C9"/>
    <w:rsid w:val="001D45DE"/>
    <w:rsid w:val="002C2A2E"/>
    <w:rsid w:val="002C77D5"/>
    <w:rsid w:val="00386154"/>
    <w:rsid w:val="003C49F0"/>
    <w:rsid w:val="003E6777"/>
    <w:rsid w:val="004107F0"/>
    <w:rsid w:val="00414334"/>
    <w:rsid w:val="00454A15"/>
    <w:rsid w:val="00565D15"/>
    <w:rsid w:val="005E6188"/>
    <w:rsid w:val="006C0F79"/>
    <w:rsid w:val="007918DE"/>
    <w:rsid w:val="007A1A55"/>
    <w:rsid w:val="007D05B9"/>
    <w:rsid w:val="00874243"/>
    <w:rsid w:val="008E7B2F"/>
    <w:rsid w:val="00902613"/>
    <w:rsid w:val="00A40E14"/>
    <w:rsid w:val="00AA5C9F"/>
    <w:rsid w:val="00C32283"/>
    <w:rsid w:val="00C65D65"/>
    <w:rsid w:val="00D309F6"/>
    <w:rsid w:val="00DB3B02"/>
    <w:rsid w:val="00E32161"/>
    <w:rsid w:val="00F04463"/>
    <w:rsid w:val="00F0450F"/>
    <w:rsid w:val="00F449E8"/>
    <w:rsid w:val="00F91820"/>
    <w:rsid w:val="00FB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792F"/>
  <w15:docId w15:val="{0DEE1F06-CC76-44EB-8911-7A6C1B7D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и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le.birzha.km.ua/regla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birzha.km.ua/" TargetMode="External"/><Relationship Id="rId5" Type="http://schemas.openxmlformats.org/officeDocument/2006/relationships/hyperlink" Target="https://sale.birzha.k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3472</Words>
  <Characters>19796</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2021-07-06T12:34:00Z</dcterms:created>
  <dcterms:modified xsi:type="dcterms:W3CDTF">2021-07-12T08:12:00Z</dcterms:modified>
</cp:coreProperties>
</file>